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5B9F" w:rsidRPr="00A250CB" w:rsidRDefault="00B85B9F">
      <w:pPr>
        <w:rPr>
          <w:lang w:val="en-US"/>
        </w:rPr>
      </w:pPr>
      <w:bookmarkStart w:id="0" w:name="_GoBack"/>
      <w:bookmarkEnd w:id="0"/>
      <w:r w:rsidRPr="00A250CB">
        <w:rPr>
          <w:lang w:val="en-US"/>
        </w:rPr>
        <w:t xml:space="preserve">Graphical assessment of incremental value of </w:t>
      </w:r>
      <w:r>
        <w:rPr>
          <w:lang w:val="en-US"/>
        </w:rPr>
        <w:t xml:space="preserve">novel </w:t>
      </w:r>
      <w:r w:rsidRPr="00A250CB">
        <w:rPr>
          <w:lang w:val="en-US"/>
        </w:rPr>
        <w:t>markers in prediction models: from statistical to decision analytical perspectives</w:t>
      </w:r>
    </w:p>
    <w:p w:rsidR="00B85B9F" w:rsidRDefault="00B85B9F">
      <w:pPr>
        <w:rPr>
          <w:lang w:val="en-US"/>
        </w:rPr>
      </w:pPr>
    </w:p>
    <w:p w:rsidR="001874A8" w:rsidRPr="00A250CB" w:rsidRDefault="001874A8">
      <w:pPr>
        <w:rPr>
          <w:lang w:val="en-US"/>
        </w:rPr>
      </w:pPr>
    </w:p>
    <w:p w:rsidR="00B85B9F" w:rsidRPr="000C3266" w:rsidRDefault="00B85B9F">
      <w:pPr>
        <w:rPr>
          <w:vertAlign w:val="superscript"/>
        </w:rPr>
      </w:pPr>
      <w:r w:rsidRPr="009E6377">
        <w:t xml:space="preserve">Ewout </w:t>
      </w:r>
      <w:r>
        <w:t xml:space="preserve">W. </w:t>
      </w:r>
      <w:r w:rsidRPr="009E6377">
        <w:t>Steyerberg,</w:t>
      </w:r>
      <w:r>
        <w:rPr>
          <w:vertAlign w:val="superscript"/>
        </w:rPr>
        <w:t>1</w:t>
      </w:r>
      <w:r w:rsidRPr="009E6377">
        <w:t xml:space="preserve"> </w:t>
      </w:r>
      <w:proofErr w:type="spellStart"/>
      <w:r w:rsidRPr="009E6377">
        <w:t>Moniek</w:t>
      </w:r>
      <w:proofErr w:type="spellEnd"/>
      <w:r w:rsidRPr="009E6377">
        <w:t xml:space="preserve"> </w:t>
      </w:r>
      <w:r>
        <w:t xml:space="preserve">M. </w:t>
      </w:r>
      <w:r w:rsidRPr="009E6377">
        <w:t>Vedder,</w:t>
      </w:r>
      <w:r>
        <w:rPr>
          <w:vertAlign w:val="superscript"/>
        </w:rPr>
        <w:t>1</w:t>
      </w:r>
      <w:r w:rsidRPr="009E6377">
        <w:t xml:space="preserve"> Maarten </w:t>
      </w:r>
      <w:r>
        <w:t xml:space="preserve">J.G. </w:t>
      </w:r>
      <w:r w:rsidRPr="009E6377">
        <w:t>Leening,</w:t>
      </w:r>
      <w:r>
        <w:rPr>
          <w:vertAlign w:val="superscript"/>
        </w:rPr>
        <w:t>2,3</w:t>
      </w:r>
      <w:r w:rsidRPr="009E6377">
        <w:t xml:space="preserve"> </w:t>
      </w:r>
      <w:proofErr w:type="spellStart"/>
      <w:r w:rsidRPr="009E6377">
        <w:t>Douwe</w:t>
      </w:r>
      <w:proofErr w:type="spellEnd"/>
      <w:r w:rsidR="00BF347F">
        <w:t> </w:t>
      </w:r>
      <w:r w:rsidRPr="009E6377">
        <w:t>Postmus,</w:t>
      </w:r>
      <w:r>
        <w:rPr>
          <w:vertAlign w:val="superscript"/>
        </w:rPr>
        <w:t>4</w:t>
      </w:r>
      <w:r w:rsidRPr="009E6377">
        <w:t xml:space="preserve"> </w:t>
      </w:r>
      <w:r w:rsidR="00791556">
        <w:t xml:space="preserve">Ralph B </w:t>
      </w:r>
      <w:proofErr w:type="spellStart"/>
      <w:r w:rsidR="00791556">
        <w:t>D’Agostino</w:t>
      </w:r>
      <w:proofErr w:type="spellEnd"/>
      <w:r w:rsidR="00BF347F">
        <w:t xml:space="preserve"> Sr.</w:t>
      </w:r>
      <w:r w:rsidR="00791556">
        <w:t xml:space="preserve">, </w:t>
      </w:r>
      <w:r w:rsidR="00BF347F">
        <w:rPr>
          <w:vertAlign w:val="superscript"/>
        </w:rPr>
        <w:t>5</w:t>
      </w:r>
      <w:r w:rsidR="00791556">
        <w:t xml:space="preserve"> </w:t>
      </w:r>
      <w:r w:rsidRPr="009E6377">
        <w:t xml:space="preserve">Ben </w:t>
      </w:r>
      <w:r>
        <w:t>V</w:t>
      </w:r>
      <w:r w:rsidRPr="009E6377">
        <w:t>an Calster,</w:t>
      </w:r>
      <w:r w:rsidR="00BF347F">
        <w:rPr>
          <w:vertAlign w:val="superscript"/>
        </w:rPr>
        <w:t>6</w:t>
      </w:r>
      <w:r w:rsidRPr="009E6377">
        <w:t xml:space="preserve"> Michael</w:t>
      </w:r>
      <w:r>
        <w:t xml:space="preserve"> J.</w:t>
      </w:r>
      <w:r w:rsidRPr="009E6377">
        <w:t xml:space="preserve"> Pencina</w:t>
      </w:r>
      <w:r>
        <w:t xml:space="preserve"> </w:t>
      </w:r>
      <w:r>
        <w:rPr>
          <w:vertAlign w:val="superscript"/>
        </w:rPr>
        <w:t>7</w:t>
      </w:r>
    </w:p>
    <w:p w:rsidR="00B85B9F" w:rsidRPr="009E6377" w:rsidRDefault="00B85B9F"/>
    <w:p w:rsidR="00B85B9F" w:rsidRDefault="00B85B9F" w:rsidP="000C3266">
      <w:pPr>
        <w:rPr>
          <w:lang w:val="en-US"/>
        </w:rPr>
      </w:pPr>
      <w:r>
        <w:rPr>
          <w:vertAlign w:val="superscript"/>
          <w:lang w:val="en-US"/>
        </w:rPr>
        <w:t>1</w:t>
      </w:r>
      <w:r>
        <w:rPr>
          <w:lang w:val="en-US"/>
        </w:rPr>
        <w:t xml:space="preserve"> Department of Public Health, Erasmus MC – University Medical Center Rotterdam, Rotterdam, the Netherlands</w:t>
      </w:r>
    </w:p>
    <w:p w:rsidR="00B85B9F" w:rsidRDefault="00B85B9F" w:rsidP="000C3266">
      <w:pPr>
        <w:rPr>
          <w:lang w:val="en-US"/>
        </w:rPr>
      </w:pPr>
      <w:r>
        <w:rPr>
          <w:vertAlign w:val="superscript"/>
          <w:lang w:val="en-US"/>
        </w:rPr>
        <w:t xml:space="preserve">2 </w:t>
      </w:r>
      <w:r>
        <w:rPr>
          <w:lang w:val="en-US"/>
        </w:rPr>
        <w:t>Department of Epidemiology, Erasmus MC – University Medical Center Rotterdam, Rotterdam, the Netherlands</w:t>
      </w:r>
    </w:p>
    <w:p w:rsidR="00B85B9F" w:rsidRPr="000C3266" w:rsidRDefault="00B85B9F" w:rsidP="000C3266">
      <w:pPr>
        <w:rPr>
          <w:lang w:val="en-US"/>
        </w:rPr>
      </w:pPr>
      <w:r>
        <w:rPr>
          <w:vertAlign w:val="superscript"/>
          <w:lang w:val="en-US"/>
        </w:rPr>
        <w:t>3</w:t>
      </w:r>
      <w:r>
        <w:rPr>
          <w:lang w:val="en-US"/>
        </w:rPr>
        <w:t xml:space="preserve"> Department of Cardiology, Erasmus MC – University Medical Center Rotterdam, </w:t>
      </w:r>
      <w:r w:rsidRPr="000C3266">
        <w:rPr>
          <w:lang w:val="en-US"/>
        </w:rPr>
        <w:t>Rotterdam, the Netherlands</w:t>
      </w:r>
    </w:p>
    <w:p w:rsidR="00B85B9F" w:rsidRPr="00F60DE0" w:rsidRDefault="00B85B9F" w:rsidP="000C3266">
      <w:pPr>
        <w:rPr>
          <w:lang w:val="en-US"/>
        </w:rPr>
      </w:pPr>
      <w:r w:rsidRPr="00CB304B">
        <w:rPr>
          <w:vertAlign w:val="superscript"/>
          <w:lang w:val="en-US"/>
        </w:rPr>
        <w:t>4</w:t>
      </w:r>
      <w:r w:rsidRPr="00CB304B">
        <w:rPr>
          <w:lang w:val="en-US"/>
        </w:rPr>
        <w:t xml:space="preserve"> Department of Epidemiology, University of Groningen, University Medical Center Groningen, Groningen, the Netherlands</w:t>
      </w:r>
      <w:r w:rsidRPr="00F60DE0">
        <w:rPr>
          <w:lang w:val="en-US"/>
        </w:rPr>
        <w:t xml:space="preserve"> </w:t>
      </w:r>
    </w:p>
    <w:p w:rsidR="00BF347F" w:rsidRPr="000C3266" w:rsidRDefault="00B85B9F" w:rsidP="00BF347F">
      <w:pPr>
        <w:rPr>
          <w:lang w:val="en-US"/>
        </w:rPr>
      </w:pPr>
      <w:r w:rsidRPr="000C3266">
        <w:rPr>
          <w:vertAlign w:val="superscript"/>
          <w:lang w:val="en-US"/>
        </w:rPr>
        <w:t>5</w:t>
      </w:r>
      <w:r w:rsidRPr="000C3266">
        <w:rPr>
          <w:lang w:val="en-US"/>
        </w:rPr>
        <w:t xml:space="preserve"> </w:t>
      </w:r>
      <w:r w:rsidR="00BF347F">
        <w:rPr>
          <w:lang w:val="en-US"/>
        </w:rPr>
        <w:t>Framingham Heart Study, Framingham</w:t>
      </w:r>
      <w:r w:rsidR="00BF347F">
        <w:rPr>
          <w:rFonts w:cs="Calibri"/>
          <w:lang w:val="en-US"/>
        </w:rPr>
        <w:t>, MA</w:t>
      </w:r>
      <w:r w:rsidR="00BF347F" w:rsidRPr="000C3266">
        <w:rPr>
          <w:rFonts w:cs="Calibri"/>
          <w:lang w:val="en-US"/>
        </w:rPr>
        <w:t>, U.S.</w:t>
      </w:r>
    </w:p>
    <w:p w:rsidR="00B85B9F" w:rsidRPr="000C3266" w:rsidRDefault="00BF347F" w:rsidP="000C3266">
      <w:pPr>
        <w:rPr>
          <w:lang w:val="en-US"/>
        </w:rPr>
      </w:pPr>
      <w:r w:rsidRPr="000C3266">
        <w:rPr>
          <w:vertAlign w:val="superscript"/>
          <w:lang w:val="en-US"/>
        </w:rPr>
        <w:t>6</w:t>
      </w:r>
      <w:r w:rsidRPr="000C3266">
        <w:rPr>
          <w:lang w:val="en-US"/>
        </w:rPr>
        <w:t xml:space="preserve"> </w:t>
      </w:r>
      <w:r w:rsidR="00B85B9F" w:rsidRPr="000C3266">
        <w:rPr>
          <w:lang w:val="en-US"/>
        </w:rPr>
        <w:t xml:space="preserve">Department of Development and Regeneration, </w:t>
      </w:r>
      <w:r w:rsidR="00B85B9F">
        <w:rPr>
          <w:lang w:val="en-US"/>
        </w:rPr>
        <w:t>KU</w:t>
      </w:r>
      <w:r w:rsidR="00B85B9F" w:rsidRPr="000C3266">
        <w:rPr>
          <w:lang w:val="en-US"/>
        </w:rPr>
        <w:t xml:space="preserve"> Leuven, Leuven, Belgium </w:t>
      </w:r>
    </w:p>
    <w:p w:rsidR="00B85B9F" w:rsidRDefault="00BF347F" w:rsidP="000C3266">
      <w:pPr>
        <w:rPr>
          <w:rFonts w:cs="Calibri"/>
          <w:lang w:val="en-US"/>
        </w:rPr>
      </w:pPr>
      <w:r>
        <w:rPr>
          <w:vertAlign w:val="superscript"/>
          <w:lang w:val="en-US"/>
        </w:rPr>
        <w:t>7</w:t>
      </w:r>
      <w:r w:rsidRPr="000C3266">
        <w:rPr>
          <w:lang w:val="en-US"/>
        </w:rPr>
        <w:t xml:space="preserve"> </w:t>
      </w:r>
      <w:r w:rsidR="00B85B9F" w:rsidRPr="000C3266">
        <w:rPr>
          <w:rFonts w:cs="Calibri"/>
          <w:lang w:val="en-US"/>
        </w:rPr>
        <w:t xml:space="preserve">Duke Clinical Research Institute, Department of Biostatistics and </w:t>
      </w:r>
      <w:r w:rsidR="00B85B9F">
        <w:rPr>
          <w:rFonts w:cs="Calibri"/>
          <w:lang w:val="en-US"/>
        </w:rPr>
        <w:t>B</w:t>
      </w:r>
      <w:r w:rsidR="00B85B9F" w:rsidRPr="000C3266">
        <w:rPr>
          <w:rFonts w:cs="Calibri"/>
          <w:lang w:val="en-US"/>
        </w:rPr>
        <w:t>ioinformatics, Duke University, Durham, NC, U.S.</w:t>
      </w:r>
    </w:p>
    <w:p w:rsidR="00B85B9F" w:rsidRPr="000C3266" w:rsidRDefault="00B85B9F">
      <w:pPr>
        <w:rPr>
          <w:lang w:val="en-US"/>
        </w:rPr>
      </w:pPr>
    </w:p>
    <w:p w:rsidR="00B85B9F" w:rsidRPr="000C3266" w:rsidRDefault="00B85B9F">
      <w:pPr>
        <w:rPr>
          <w:lang w:val="en-US"/>
        </w:rPr>
      </w:pPr>
    </w:p>
    <w:p w:rsidR="00B85B9F" w:rsidRDefault="00B85B9F">
      <w:pPr>
        <w:rPr>
          <w:lang w:val="en-US"/>
        </w:rPr>
      </w:pPr>
      <w:r>
        <w:rPr>
          <w:lang w:val="en-US"/>
        </w:rPr>
        <w:t>Journal: Biometrical Journal</w:t>
      </w:r>
    </w:p>
    <w:p w:rsidR="001874A8" w:rsidRDefault="001874A8">
      <w:pPr>
        <w:rPr>
          <w:lang w:val="en-US"/>
        </w:rPr>
      </w:pPr>
    </w:p>
    <w:p w:rsidR="001874A8" w:rsidRPr="00A250CB" w:rsidRDefault="001874A8" w:rsidP="001874A8">
      <w:pPr>
        <w:rPr>
          <w:lang w:val="en-US"/>
        </w:rPr>
      </w:pPr>
      <w:r>
        <w:rPr>
          <w:lang w:val="en-US"/>
        </w:rPr>
        <w:t xml:space="preserve">Running title: </w:t>
      </w:r>
      <w:r w:rsidRPr="00A250CB">
        <w:rPr>
          <w:lang w:val="en-US"/>
        </w:rPr>
        <w:t xml:space="preserve">Graphical assessment of incremental </w:t>
      </w:r>
      <w:r>
        <w:rPr>
          <w:lang w:val="en-US"/>
        </w:rPr>
        <w:t xml:space="preserve">predictive </w:t>
      </w:r>
      <w:r w:rsidRPr="00A250CB">
        <w:rPr>
          <w:lang w:val="en-US"/>
        </w:rPr>
        <w:t xml:space="preserve">value </w:t>
      </w:r>
    </w:p>
    <w:p w:rsidR="001874A8" w:rsidRDefault="001874A8">
      <w:pPr>
        <w:rPr>
          <w:lang w:val="en-US"/>
        </w:rPr>
      </w:pPr>
    </w:p>
    <w:p w:rsidR="00B85B9F" w:rsidRDefault="00B85B9F">
      <w:pPr>
        <w:rPr>
          <w:lang w:val="en-US"/>
        </w:rPr>
      </w:pPr>
    </w:p>
    <w:p w:rsidR="00B85B9F" w:rsidRDefault="00B85B9F">
      <w:pPr>
        <w:rPr>
          <w:lang w:val="en-US"/>
        </w:rPr>
      </w:pPr>
      <w:r>
        <w:rPr>
          <w:lang w:val="en-US"/>
        </w:rPr>
        <w:t xml:space="preserve">Version: </w:t>
      </w:r>
      <w:r w:rsidR="00DC167A">
        <w:rPr>
          <w:lang w:val="en-US"/>
        </w:rPr>
        <w:t xml:space="preserve">April </w:t>
      </w:r>
      <w:r w:rsidR="004B61B4">
        <w:rPr>
          <w:lang w:val="en-US"/>
        </w:rPr>
        <w:t>22</w:t>
      </w:r>
      <w:r>
        <w:rPr>
          <w:lang w:val="en-US"/>
        </w:rPr>
        <w:t>, 201</w:t>
      </w:r>
      <w:r w:rsidR="00DC167A">
        <w:rPr>
          <w:lang w:val="en-US"/>
        </w:rPr>
        <w:t>4</w:t>
      </w:r>
    </w:p>
    <w:p w:rsidR="00B85B9F" w:rsidRDefault="00B85B9F">
      <w:pPr>
        <w:rPr>
          <w:lang w:val="en-US"/>
        </w:rPr>
      </w:pPr>
    </w:p>
    <w:p w:rsidR="00DC167A" w:rsidRDefault="00DC167A">
      <w:pPr>
        <w:rPr>
          <w:lang w:val="en-US"/>
        </w:rPr>
      </w:pPr>
    </w:p>
    <w:p w:rsidR="00DC167A" w:rsidRDefault="00DC167A">
      <w:pPr>
        <w:rPr>
          <w:lang w:val="en-US"/>
        </w:rPr>
      </w:pPr>
      <w:r>
        <w:rPr>
          <w:lang w:val="en-US"/>
        </w:rPr>
        <w:t>Acknowledgments:</w:t>
      </w:r>
    </w:p>
    <w:p w:rsidR="00DC167A" w:rsidRDefault="004B61B4">
      <w:pPr>
        <w:rPr>
          <w:lang w:val="en-US"/>
        </w:rPr>
      </w:pPr>
      <w:r>
        <w:rPr>
          <w:lang w:val="en-US"/>
        </w:rPr>
        <w:t xml:space="preserve">Part of this research was supported by </w:t>
      </w:r>
      <w:r w:rsidR="00DC167A">
        <w:rPr>
          <w:lang w:val="en-US"/>
        </w:rPr>
        <w:t>the Center for Translational Molecular Medicine (</w:t>
      </w:r>
      <w:r>
        <w:rPr>
          <w:lang w:val="en-US"/>
        </w:rPr>
        <w:t xml:space="preserve">ES and MV: </w:t>
      </w:r>
      <w:r w:rsidR="00DC167A">
        <w:rPr>
          <w:lang w:val="en-US"/>
        </w:rPr>
        <w:t>PCMM</w:t>
      </w:r>
      <w:r>
        <w:rPr>
          <w:lang w:val="en-US"/>
        </w:rPr>
        <w:t xml:space="preserve"> project; DP: </w:t>
      </w:r>
      <w:r w:rsidRPr="004B61B4">
        <w:rPr>
          <w:lang w:val="en-US"/>
        </w:rPr>
        <w:t xml:space="preserve">TRIUMPH and </w:t>
      </w:r>
      <w:proofErr w:type="spellStart"/>
      <w:r w:rsidRPr="004B61B4">
        <w:rPr>
          <w:lang w:val="en-US"/>
        </w:rPr>
        <w:t>PREDICCt</w:t>
      </w:r>
      <w:proofErr w:type="spellEnd"/>
      <w:r>
        <w:rPr>
          <w:lang w:val="en-US"/>
        </w:rPr>
        <w:t xml:space="preserve"> projects). </w:t>
      </w:r>
      <w:r w:rsidRPr="004B61B4">
        <w:rPr>
          <w:rFonts w:eastAsia="Times New Roman"/>
          <w:lang w:val="en-US"/>
        </w:rPr>
        <w:t>BVC was supported by a postdoctoral fellowship from the Research Foundation - Flanders (FWO).</w:t>
      </w:r>
      <w:r w:rsidRPr="004B61B4">
        <w:rPr>
          <w:rFonts w:eastAsia="Times New Roman"/>
          <w:lang w:val="en-US"/>
        </w:rPr>
        <w:br/>
      </w:r>
    </w:p>
    <w:p w:rsidR="00B85B9F" w:rsidRDefault="00B85B9F">
      <w:pPr>
        <w:rPr>
          <w:lang w:val="en-US"/>
        </w:rPr>
      </w:pPr>
      <w:r w:rsidRPr="00A250CB">
        <w:rPr>
          <w:lang w:val="en-US"/>
        </w:rPr>
        <w:br w:type="page"/>
      </w:r>
    </w:p>
    <w:p w:rsidR="00B85B9F" w:rsidRPr="00A250CB" w:rsidRDefault="00B85B9F">
      <w:pPr>
        <w:rPr>
          <w:lang w:val="en-US"/>
        </w:rPr>
      </w:pPr>
    </w:p>
    <w:p w:rsidR="00B85B9F" w:rsidRPr="00C36504" w:rsidRDefault="00B85B9F" w:rsidP="00C36504">
      <w:pPr>
        <w:spacing w:line="360" w:lineRule="auto"/>
        <w:rPr>
          <w:b/>
          <w:lang w:val="en-US"/>
        </w:rPr>
      </w:pPr>
      <w:r w:rsidRPr="00C36504">
        <w:rPr>
          <w:b/>
          <w:lang w:val="en-US"/>
        </w:rPr>
        <w:t>Abstract</w:t>
      </w:r>
    </w:p>
    <w:p w:rsidR="00B85B9F" w:rsidRPr="00A250CB" w:rsidRDefault="00B85B9F" w:rsidP="00C36504">
      <w:pPr>
        <w:spacing w:line="360" w:lineRule="auto"/>
        <w:rPr>
          <w:lang w:val="en-US"/>
        </w:rPr>
      </w:pPr>
    </w:p>
    <w:p w:rsidR="00B85B9F" w:rsidRPr="00A250CB" w:rsidRDefault="00B85B9F" w:rsidP="00C36504">
      <w:pPr>
        <w:spacing w:line="360" w:lineRule="auto"/>
        <w:rPr>
          <w:lang w:val="en-US"/>
        </w:rPr>
      </w:pPr>
      <w:r>
        <w:rPr>
          <w:lang w:val="en-US"/>
        </w:rPr>
        <w:t xml:space="preserve">Background: </w:t>
      </w:r>
      <w:r w:rsidRPr="00A250CB">
        <w:rPr>
          <w:lang w:val="en-US"/>
        </w:rPr>
        <w:t xml:space="preserve">New markers may improve prediction of diagnostic and prognostic outcomes. We aimed to review various options for graphical display </w:t>
      </w:r>
      <w:r>
        <w:rPr>
          <w:lang w:val="en-US"/>
        </w:rPr>
        <w:t xml:space="preserve">and summary measures </w:t>
      </w:r>
      <w:r w:rsidRPr="00A250CB">
        <w:rPr>
          <w:lang w:val="en-US"/>
        </w:rPr>
        <w:t xml:space="preserve">to assess the predictive value of markers over standard, readily available predictors. </w:t>
      </w:r>
    </w:p>
    <w:p w:rsidR="00B85B9F" w:rsidRDefault="00B85B9F" w:rsidP="00C36504">
      <w:pPr>
        <w:spacing w:line="360" w:lineRule="auto"/>
        <w:rPr>
          <w:lang w:val="en-US"/>
        </w:rPr>
      </w:pPr>
      <w:r>
        <w:rPr>
          <w:lang w:val="en-US"/>
        </w:rPr>
        <w:t xml:space="preserve">Methods: </w:t>
      </w:r>
      <w:r w:rsidRPr="00A250CB">
        <w:rPr>
          <w:lang w:val="en-US"/>
        </w:rPr>
        <w:t xml:space="preserve">We illustrated various approaches </w:t>
      </w:r>
      <w:r>
        <w:rPr>
          <w:lang w:val="en-US"/>
        </w:rPr>
        <w:t xml:space="preserve">using previously published data on </w:t>
      </w:r>
      <w:r w:rsidRPr="00A250CB">
        <w:rPr>
          <w:lang w:val="en-US"/>
        </w:rPr>
        <w:t xml:space="preserve">3264 </w:t>
      </w:r>
      <w:r>
        <w:rPr>
          <w:lang w:val="en-US"/>
        </w:rPr>
        <w:t>participant</w:t>
      </w:r>
      <w:r w:rsidRPr="00A250CB">
        <w:rPr>
          <w:lang w:val="en-US"/>
        </w:rPr>
        <w:t xml:space="preserve">s from the Framingham </w:t>
      </w:r>
      <w:r>
        <w:rPr>
          <w:lang w:val="en-US"/>
        </w:rPr>
        <w:t>Heart S</w:t>
      </w:r>
      <w:r w:rsidRPr="00A250CB">
        <w:rPr>
          <w:lang w:val="en-US"/>
        </w:rPr>
        <w:t xml:space="preserve">tudy, where 183 </w:t>
      </w:r>
      <w:r w:rsidR="00BF347F">
        <w:rPr>
          <w:lang w:val="en-US"/>
        </w:rPr>
        <w:t>developed</w:t>
      </w:r>
      <w:r w:rsidRPr="00A250CB">
        <w:rPr>
          <w:lang w:val="en-US"/>
        </w:rPr>
        <w:t xml:space="preserve"> coronary heart disease (10-year risk 5.6%). We considered performance measures for the incremental value of adding HDL</w:t>
      </w:r>
      <w:r>
        <w:rPr>
          <w:lang w:val="en-US"/>
        </w:rPr>
        <w:t xml:space="preserve"> cholesterol</w:t>
      </w:r>
      <w:r w:rsidRPr="00A250CB">
        <w:rPr>
          <w:lang w:val="en-US"/>
        </w:rPr>
        <w:t xml:space="preserve"> to a </w:t>
      </w:r>
      <w:r>
        <w:rPr>
          <w:lang w:val="en-US"/>
        </w:rPr>
        <w:t>prediction</w:t>
      </w:r>
      <w:r w:rsidRPr="00A250CB">
        <w:rPr>
          <w:lang w:val="en-US"/>
        </w:rPr>
        <w:t xml:space="preserve"> model. </w:t>
      </w:r>
    </w:p>
    <w:p w:rsidR="00B85B9F" w:rsidRPr="00A250CB" w:rsidRDefault="00B85B9F" w:rsidP="00C36504">
      <w:pPr>
        <w:spacing w:line="360" w:lineRule="auto"/>
        <w:rPr>
          <w:lang w:val="en-US"/>
        </w:rPr>
      </w:pPr>
      <w:r>
        <w:rPr>
          <w:lang w:val="en-US"/>
        </w:rPr>
        <w:t xml:space="preserve">Results: </w:t>
      </w:r>
      <w:r w:rsidRPr="00A250CB">
        <w:rPr>
          <w:lang w:val="en-US"/>
        </w:rPr>
        <w:t>An initial assessment may consider statistical significance (</w:t>
      </w:r>
      <w:r w:rsidR="00206007" w:rsidRPr="00A250CB">
        <w:rPr>
          <w:lang w:val="en-US"/>
        </w:rPr>
        <w:t xml:space="preserve">HR=0.65, </w:t>
      </w:r>
      <w:r w:rsidR="00206007">
        <w:rPr>
          <w:lang w:val="en-US"/>
        </w:rPr>
        <w:t xml:space="preserve">95% confidence interval 0.53 to 0.80; </w:t>
      </w:r>
      <w:r w:rsidRPr="00A250CB">
        <w:rPr>
          <w:lang w:val="en-US"/>
        </w:rPr>
        <w:t>Likelihood Ratio p&lt;0.001), and distributions of predict</w:t>
      </w:r>
      <w:r>
        <w:rPr>
          <w:lang w:val="en-US"/>
        </w:rPr>
        <w:t>ed risks</w:t>
      </w:r>
      <w:r w:rsidRPr="00A250CB">
        <w:rPr>
          <w:lang w:val="en-US"/>
        </w:rPr>
        <w:t xml:space="preserve"> (densities or box plots) with various summary measures. A range of decision thresholds is considered in </w:t>
      </w:r>
      <w:proofErr w:type="spellStart"/>
      <w:r w:rsidR="0042557D">
        <w:rPr>
          <w:lang w:val="en-US"/>
        </w:rPr>
        <w:t>predictiveness</w:t>
      </w:r>
      <w:proofErr w:type="spellEnd"/>
      <w:r w:rsidR="0042557D">
        <w:rPr>
          <w:lang w:val="en-US"/>
        </w:rPr>
        <w:t xml:space="preserve"> and </w:t>
      </w:r>
      <w:r w:rsidRPr="00A250CB">
        <w:rPr>
          <w:lang w:val="en-US"/>
        </w:rPr>
        <w:t>receiver operating characteristic curve</w:t>
      </w:r>
      <w:r w:rsidR="0042557D">
        <w:rPr>
          <w:lang w:val="en-US"/>
        </w:rPr>
        <w:t>s</w:t>
      </w:r>
      <w:r w:rsidRPr="00A250CB">
        <w:rPr>
          <w:lang w:val="en-US"/>
        </w:rPr>
        <w:t xml:space="preserve">, where the area under the curve (AUC) increased from 0.762 to 0.774 by adding HDL. </w:t>
      </w:r>
      <w:r>
        <w:rPr>
          <w:lang w:val="en-US"/>
        </w:rPr>
        <w:t xml:space="preserve">We can </w:t>
      </w:r>
      <w:r w:rsidR="0042557D">
        <w:rPr>
          <w:lang w:val="en-US"/>
        </w:rPr>
        <w:t xml:space="preserve">furthermore </w:t>
      </w:r>
      <w:r>
        <w:rPr>
          <w:lang w:val="en-US"/>
        </w:rPr>
        <w:t>focus on reclassification of participants with and without an event in a reclassification graph, with the continuous Net Reclassification Improvement (NRI) as a summary measure.</w:t>
      </w:r>
    </w:p>
    <w:p w:rsidR="00B85B9F" w:rsidRPr="00A250CB" w:rsidRDefault="00B85B9F" w:rsidP="00C36504">
      <w:pPr>
        <w:spacing w:line="360" w:lineRule="auto"/>
        <w:rPr>
          <w:lang w:val="en-US"/>
        </w:rPr>
      </w:pPr>
      <w:r w:rsidRPr="00A250CB">
        <w:rPr>
          <w:lang w:val="en-US"/>
        </w:rPr>
        <w:t xml:space="preserve">When we focus on one particular decision threshold, the changes in sensitivity and specificity are central. </w:t>
      </w:r>
      <w:r>
        <w:rPr>
          <w:lang w:val="en-US"/>
        </w:rPr>
        <w:t>We propose a Net Reclassification Risk</w:t>
      </w:r>
      <w:r w:rsidRPr="00A250CB">
        <w:rPr>
          <w:lang w:val="en-US"/>
        </w:rPr>
        <w:t xml:space="preserve"> graph, which allows </w:t>
      </w:r>
      <w:r>
        <w:rPr>
          <w:lang w:val="en-US"/>
        </w:rPr>
        <w:t xml:space="preserve">us </w:t>
      </w:r>
      <w:r w:rsidRPr="00A250CB">
        <w:rPr>
          <w:lang w:val="en-US"/>
        </w:rPr>
        <w:t xml:space="preserve">to focus on the number of reclassified </w:t>
      </w:r>
      <w:r>
        <w:rPr>
          <w:lang w:val="en-US"/>
        </w:rPr>
        <w:t>persons</w:t>
      </w:r>
      <w:r w:rsidRPr="00A250CB">
        <w:rPr>
          <w:lang w:val="en-US"/>
        </w:rPr>
        <w:t xml:space="preserve"> and their event rates.</w:t>
      </w:r>
      <w:r>
        <w:rPr>
          <w:lang w:val="en-US"/>
        </w:rPr>
        <w:t xml:space="preserve"> </w:t>
      </w:r>
      <w:r w:rsidRPr="00A250CB">
        <w:rPr>
          <w:lang w:val="en-US"/>
        </w:rPr>
        <w:t>Summary measures include the binary AUC</w:t>
      </w:r>
      <w:r>
        <w:rPr>
          <w:lang w:val="en-US"/>
        </w:rPr>
        <w:t xml:space="preserve">, </w:t>
      </w:r>
      <w:r w:rsidRPr="00A250CB">
        <w:rPr>
          <w:lang w:val="en-US"/>
        </w:rPr>
        <w:t xml:space="preserve">the </w:t>
      </w:r>
      <w:r>
        <w:rPr>
          <w:lang w:val="en-US"/>
        </w:rPr>
        <w:t>two-category</w:t>
      </w:r>
      <w:r w:rsidRPr="00A250CB">
        <w:rPr>
          <w:lang w:val="en-US"/>
        </w:rPr>
        <w:t xml:space="preserve"> NRI, and </w:t>
      </w:r>
      <w:r>
        <w:rPr>
          <w:lang w:val="en-US"/>
        </w:rPr>
        <w:t xml:space="preserve">decision analytic </w:t>
      </w:r>
      <w:r w:rsidRPr="00A250CB">
        <w:rPr>
          <w:lang w:val="en-US"/>
        </w:rPr>
        <w:t>variants such as</w:t>
      </w:r>
      <w:r>
        <w:rPr>
          <w:lang w:val="en-US"/>
        </w:rPr>
        <w:t xml:space="preserve"> the</w:t>
      </w:r>
      <w:r w:rsidRPr="00A250CB">
        <w:rPr>
          <w:lang w:val="en-US"/>
        </w:rPr>
        <w:t xml:space="preserve"> Net Benefit</w:t>
      </w:r>
      <w:r>
        <w:rPr>
          <w:lang w:val="en-US"/>
        </w:rPr>
        <w:t xml:space="preserve"> (NB)</w:t>
      </w:r>
      <w:r w:rsidRPr="00A250CB">
        <w:rPr>
          <w:lang w:val="en-US"/>
        </w:rPr>
        <w:t>.</w:t>
      </w:r>
    </w:p>
    <w:p w:rsidR="00B85B9F" w:rsidRDefault="00B85B9F" w:rsidP="00C36504">
      <w:pPr>
        <w:spacing w:line="360" w:lineRule="auto"/>
        <w:rPr>
          <w:lang w:val="en-US"/>
        </w:rPr>
      </w:pPr>
      <w:r>
        <w:rPr>
          <w:lang w:val="en-US"/>
        </w:rPr>
        <w:t>Conclusions: V</w:t>
      </w:r>
      <w:r w:rsidRPr="00A250CB">
        <w:rPr>
          <w:lang w:val="en-US"/>
        </w:rPr>
        <w:t xml:space="preserve">arious graphs and summary measures can be used to </w:t>
      </w:r>
      <w:r>
        <w:rPr>
          <w:lang w:val="en-US"/>
        </w:rPr>
        <w:t>assess</w:t>
      </w:r>
      <w:r w:rsidRPr="00A250CB">
        <w:rPr>
          <w:lang w:val="en-US"/>
        </w:rPr>
        <w:t xml:space="preserve"> the incremental predictive value of a marker. Important insights for impact on decision making are provided by a simple graph for </w:t>
      </w:r>
      <w:r>
        <w:rPr>
          <w:lang w:val="en-US"/>
        </w:rPr>
        <w:t>the Net Reclassification Risk</w:t>
      </w:r>
      <w:r w:rsidRPr="00A250CB">
        <w:rPr>
          <w:lang w:val="en-US"/>
        </w:rPr>
        <w:t>.</w:t>
      </w:r>
    </w:p>
    <w:p w:rsidR="0042557D" w:rsidRPr="00A250CB" w:rsidRDefault="0042557D" w:rsidP="00C36504">
      <w:pPr>
        <w:spacing w:line="360" w:lineRule="auto"/>
        <w:rPr>
          <w:lang w:val="en-US"/>
        </w:rPr>
      </w:pPr>
    </w:p>
    <w:p w:rsidR="00B85B9F" w:rsidRDefault="00B85B9F" w:rsidP="00C36504">
      <w:pPr>
        <w:spacing w:line="360" w:lineRule="auto"/>
        <w:rPr>
          <w:lang w:val="en-US"/>
        </w:rPr>
      </w:pPr>
      <w:r w:rsidRPr="00A250CB">
        <w:rPr>
          <w:lang w:val="en-US"/>
        </w:rPr>
        <w:t>Key words: ROC curve, decision analysis, reclassification, regression analysis, risk assessment</w:t>
      </w:r>
    </w:p>
    <w:p w:rsidR="004844B5" w:rsidRPr="001D046F" w:rsidRDefault="004844B5" w:rsidP="00C36504">
      <w:pPr>
        <w:spacing w:line="360" w:lineRule="auto"/>
        <w:rPr>
          <w:lang w:val="en-US"/>
        </w:rPr>
      </w:pPr>
    </w:p>
    <w:p w:rsidR="00B85B9F" w:rsidRPr="008C0678" w:rsidRDefault="00B85B9F" w:rsidP="00C36504">
      <w:pPr>
        <w:spacing w:line="360" w:lineRule="auto"/>
        <w:rPr>
          <w:b/>
          <w:lang w:val="en-US"/>
        </w:rPr>
      </w:pPr>
      <w:r w:rsidRPr="008C0678">
        <w:rPr>
          <w:b/>
          <w:lang w:val="en-US"/>
        </w:rPr>
        <w:lastRenderedPageBreak/>
        <w:t>Introduction</w:t>
      </w:r>
    </w:p>
    <w:p w:rsidR="00B85B9F" w:rsidRPr="00A250CB" w:rsidRDefault="00B85B9F" w:rsidP="00C36504">
      <w:pPr>
        <w:spacing w:line="360" w:lineRule="auto"/>
        <w:rPr>
          <w:lang w:val="en-US"/>
        </w:rPr>
      </w:pPr>
    </w:p>
    <w:p w:rsidR="00B85B9F" w:rsidRPr="00A250CB" w:rsidRDefault="00B85B9F" w:rsidP="00C36504">
      <w:pPr>
        <w:spacing w:line="360" w:lineRule="auto"/>
        <w:rPr>
          <w:lang w:val="en-US"/>
        </w:rPr>
      </w:pPr>
      <w:r w:rsidRPr="00A250CB">
        <w:rPr>
          <w:lang w:val="en-US"/>
        </w:rPr>
        <w:t>Risk prediction models, or clinical prediction models, have been successfully developed</w:t>
      </w:r>
      <w:r>
        <w:rPr>
          <w:lang w:val="en-US"/>
        </w:rPr>
        <w:t xml:space="preserve"> to aid clinicians in personalized decision making</w:t>
      </w:r>
      <w:r w:rsidRPr="00A250CB">
        <w:rPr>
          <w:lang w:val="en-US"/>
        </w:rPr>
        <w:t xml:space="preserve"> in all major fields of modern medicine, including cardiovascular disease, diabetes, trauma, and cancer</w:t>
      </w:r>
      <w:r w:rsidR="005F31D7" w:rsidRPr="005F31D7">
        <w:rPr>
          <w:lang w:val="en-US"/>
        </w:rPr>
        <w:t xml:space="preserve"> </w:t>
      </w:r>
      <w:r w:rsidR="004B61B4">
        <w:rPr>
          <w:lang w:val="en-US"/>
        </w:rPr>
        <w:fldChar w:fldCharType="begin">
          <w:fldData xml:space="preserve">PEVuZE5vdGU+PENpdGU+PEF1dGhvcj5TdGV5ZXJiZXJnPC9BdXRob3I+PFllYXI+MjAxMzwvWWVh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</w:fldData>
        </w:fldChar>
      </w:r>
      <w:r w:rsidR="004B61B4">
        <w:rPr>
          <w:lang w:val="en-US"/>
        </w:rPr>
        <w:instrText xml:space="preserve"> ADDIN EN.CITE </w:instrText>
      </w:r>
      <w:r w:rsidR="004B61B4">
        <w:rPr>
          <w:lang w:val="en-US"/>
        </w:rPr>
        <w:fldChar w:fldCharType="begin">
          <w:fldData xml:space="preserve">PEVuZE5vdGU+PENpdGU+PEF1dGhvcj5TdGV5ZXJiZXJnPC9BdXRob3I+PFllYXI+MjAxMzwvWWVh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</w:fldData>
        </w:fldChar>
      </w:r>
      <w:r w:rsidR="004B61B4">
        <w:rPr>
          <w:lang w:val="en-US"/>
        </w:rPr>
        <w:instrText xml:space="preserve"> ADDIN EN.CITE.DATA </w:instrText>
      </w:r>
      <w:r w:rsidR="004B61B4">
        <w:rPr>
          <w:lang w:val="en-US"/>
        </w:rPr>
      </w:r>
      <w:r w:rsidR="004B61B4">
        <w:rPr>
          <w:lang w:val="en-US"/>
        </w:rPr>
        <w:fldChar w:fldCharType="end"/>
      </w:r>
      <w:r w:rsidR="004B61B4">
        <w:rPr>
          <w:lang w:val="en-US"/>
        </w:rPr>
      </w:r>
      <w:r w:rsidR="004B61B4">
        <w:rPr>
          <w:lang w:val="en-US"/>
        </w:rPr>
        <w:fldChar w:fldCharType="separate"/>
      </w:r>
      <w:r w:rsidR="004B61B4">
        <w:rPr>
          <w:noProof/>
          <w:lang w:val="en-US"/>
        </w:rPr>
        <w:t>(</w:t>
      </w:r>
      <w:hyperlink w:anchor="_ENREF_34" w:tooltip="Steyerberg, 2013 #836" w:history="1">
        <w:r w:rsidR="00BF347F">
          <w:rPr>
            <w:noProof/>
            <w:lang w:val="en-US"/>
          </w:rPr>
          <w:t>Steyerberg et al., 2013</w:t>
        </w:r>
      </w:hyperlink>
      <w:r w:rsidR="004B61B4">
        <w:rPr>
          <w:noProof/>
          <w:lang w:val="en-US"/>
        </w:rPr>
        <w:t>)</w:t>
      </w:r>
      <w:r w:rsidR="004B61B4">
        <w:rPr>
          <w:lang w:val="en-US"/>
        </w:rPr>
        <w:fldChar w:fldCharType="end"/>
      </w:r>
      <w:r w:rsidR="004844B5">
        <w:rPr>
          <w:lang w:val="en-US"/>
        </w:rPr>
        <w:t>.</w:t>
      </w:r>
      <w:r w:rsidRPr="00A250CB">
        <w:rPr>
          <w:lang w:val="en-US"/>
        </w:rPr>
        <w:t xml:space="preserve"> Prediction models most often consider binary </w:t>
      </w:r>
      <w:r>
        <w:rPr>
          <w:lang w:val="en-US"/>
        </w:rPr>
        <w:t>events,</w:t>
      </w:r>
      <w:r w:rsidRPr="00A250CB">
        <w:rPr>
          <w:lang w:val="en-US"/>
        </w:rPr>
        <w:t xml:space="preserve"> w</w:t>
      </w:r>
      <w:r>
        <w:rPr>
          <w:lang w:val="en-US"/>
        </w:rPr>
        <w:t>hich are already p</w:t>
      </w:r>
      <w:r w:rsidRPr="00A250CB">
        <w:rPr>
          <w:lang w:val="en-US"/>
        </w:rPr>
        <w:t>resent</w:t>
      </w:r>
      <w:r>
        <w:rPr>
          <w:lang w:val="en-US"/>
        </w:rPr>
        <w:t xml:space="preserve"> in a patient</w:t>
      </w:r>
      <w:r w:rsidRPr="00A250CB">
        <w:rPr>
          <w:lang w:val="en-US"/>
        </w:rPr>
        <w:t xml:space="preserve"> (disease, </w:t>
      </w:r>
      <w:r>
        <w:rPr>
          <w:lang w:val="en-US"/>
        </w:rPr>
        <w:t xml:space="preserve">i.e. </w:t>
      </w:r>
      <w:r w:rsidRPr="00A250CB">
        <w:rPr>
          <w:lang w:val="en-US"/>
        </w:rPr>
        <w:t>diagnosis)</w:t>
      </w:r>
      <w:r>
        <w:rPr>
          <w:lang w:val="en-US"/>
        </w:rPr>
        <w:t>,</w:t>
      </w:r>
      <w:r w:rsidRPr="00A250CB">
        <w:rPr>
          <w:lang w:val="en-US"/>
        </w:rPr>
        <w:t xml:space="preserve"> or occur in the future (events, </w:t>
      </w:r>
      <w:r>
        <w:rPr>
          <w:lang w:val="en-US"/>
        </w:rPr>
        <w:t xml:space="preserve">i.e. </w:t>
      </w:r>
      <w:r w:rsidRPr="00A250CB">
        <w:rPr>
          <w:lang w:val="en-US"/>
        </w:rPr>
        <w:t xml:space="preserve">prognosis). Probabilistic </w:t>
      </w:r>
      <w:r>
        <w:rPr>
          <w:lang w:val="en-US"/>
        </w:rPr>
        <w:t>model</w:t>
      </w:r>
      <w:r w:rsidRPr="00A250CB">
        <w:rPr>
          <w:lang w:val="en-US"/>
        </w:rPr>
        <w:t>s for such outcomes may be evaluated with various performance measures, commonly related to discrimination</w:t>
      </w:r>
      <w:r>
        <w:rPr>
          <w:lang w:val="en-US"/>
        </w:rPr>
        <w:t xml:space="preserve"> (i.e. the ability to distinguish subjects with the event of interest from those without)</w:t>
      </w:r>
      <w:r w:rsidRPr="00A250CB">
        <w:rPr>
          <w:lang w:val="en-US"/>
        </w:rPr>
        <w:t xml:space="preserve"> and calibration</w:t>
      </w:r>
      <w:r>
        <w:rPr>
          <w:lang w:val="en-US"/>
        </w:rPr>
        <w:t xml:space="preserve"> (i.e. the agreement between predicted and observed probabilities of the event) </w:t>
      </w:r>
      <w:r w:rsidR="004B61B4">
        <w:rPr>
          <w:lang w:val="en-US"/>
        </w:rPr>
        <w:fldChar w:fldCharType="begin"/>
      </w:r>
      <w:r w:rsidR="004B61B4">
        <w:rPr>
          <w:lang w:val="en-US"/>
        </w:rPr>
        <w:instrText xml:space="preserve"> ADDIN EN.CITE &lt;EndNote&gt;&lt;Cite&gt;&lt;Author&gt;Harrell&lt;/Author&gt;&lt;Year&gt;2001&lt;/Year&gt;&lt;RecNum&gt;112&lt;/RecNum&gt;&lt;DisplayText&gt;(Harrell, 2001)&lt;/DisplayText&gt;&lt;record&gt;&lt;rec-number&gt;112&lt;/rec-number&gt;&lt;foreign-keys&gt;&lt;key app="EN" db-id="rtv2prz2p0ttw3ezv01x0raovvzvd0wfxprr"&gt;112&lt;/key&gt;&lt;/foreign-keys&gt;&lt;ref-type name="Book"&gt;6&lt;/ref-type&gt;&lt;contributors&gt;&lt;authors&gt;&lt;author&gt;Harrell, Frank E.&lt;/author&gt;&lt;/authors&gt;&lt;/contributors&gt;&lt;titles&gt;&lt;title&gt;Regression modeling strategies: with applications to linear models, logistic regression, and survival analysis&lt;/title&gt;&lt;/titles&gt;&lt;pages&gt;xxii, 568&lt;/pages&gt;&lt;keywords&gt;&lt;keyword&gt;Regression analysis.&lt;/keyword&gt;&lt;keyword&gt;Linear models (Statistics)&lt;/keyword&gt;&lt;/keywords&gt;&lt;dates&gt;&lt;year&gt;2001&lt;/year&gt;&lt;/dates&gt;&lt;pub-location&gt;New York&lt;/pub-location&gt;&lt;publisher&gt;Springer&lt;/publisher&gt;&lt;isbn&gt;0387952322 (alk. paper)&lt;/isbn&gt;&lt;accession-num&gt;Bjd-3825&lt;/accession-num&gt;&lt;call-num&gt;Qa278.2 .h387 2001&amp;#xD;519.5/36&amp;#xD;519.536&lt;/call-num&gt;&lt;urls&gt;&lt;/urls&gt;&lt;/record&gt;&lt;/Cite&gt;&lt;/EndNote&gt;</w:instrText>
      </w:r>
      <w:r w:rsidR="004B61B4">
        <w:rPr>
          <w:lang w:val="en-US"/>
        </w:rPr>
        <w:fldChar w:fldCharType="separate"/>
      </w:r>
      <w:r w:rsidR="004B61B4">
        <w:rPr>
          <w:noProof/>
          <w:lang w:val="en-US"/>
        </w:rPr>
        <w:t>(</w:t>
      </w:r>
      <w:hyperlink w:anchor="_ENREF_12" w:tooltip="Harrell, 2001 #112" w:history="1">
        <w:r w:rsidR="00BF347F">
          <w:rPr>
            <w:noProof/>
            <w:lang w:val="en-US"/>
          </w:rPr>
          <w:t>Harrell, 2001</w:t>
        </w:r>
      </w:hyperlink>
      <w:r w:rsidR="004B61B4">
        <w:rPr>
          <w:noProof/>
          <w:lang w:val="en-US"/>
        </w:rPr>
        <w:t>)</w:t>
      </w:r>
      <w:r w:rsidR="004B61B4">
        <w:rPr>
          <w:lang w:val="en-US"/>
        </w:rPr>
        <w:fldChar w:fldCharType="end"/>
      </w:r>
      <w:r w:rsidR="00C36504">
        <w:rPr>
          <w:lang w:val="en-US"/>
        </w:rPr>
        <w:t xml:space="preserve"> </w:t>
      </w:r>
      <w:r w:rsidR="004B61B4">
        <w:rPr>
          <w:lang w:val="en-US"/>
        </w:rPr>
        <w:fldChar w:fldCharType="begin"/>
      </w:r>
      <w:r w:rsidR="004B61B4">
        <w:rPr>
          <w:lang w:val="en-US"/>
        </w:rPr>
        <w:instrText xml:space="preserve"> ADDIN EN.CITE &lt;EndNote&gt;&lt;Cite&gt;&lt;Author&gt;Steyerberg&lt;/Author&gt;&lt;Year&gt;2009&lt;/Year&gt;&lt;RecNum&gt;625&lt;/RecNum&gt;&lt;DisplayText&gt;(Steyerberg, 2009)&lt;/DisplayText&gt;&lt;record&gt;&lt;rec-number&gt;625&lt;/rec-number&gt;&lt;foreign-keys&gt;&lt;key app="EN" db-id="s5at2da0rxdws8ew29spaefwt99szxvvfawz"&gt;625&lt;/key&gt;&lt;/foreign-keys&gt;&lt;ref-type name="Book"&gt;6&lt;/ref-type&gt;&lt;contributors&gt;&lt;authors&gt;&lt;author&gt;Steyerberg, Ewout W.&lt;/author&gt;&lt;/authors&gt;&lt;/contributors&gt;&lt;titles&gt;&lt;title&gt;Clinical prediction models: a practical approach to development, validation, and updating&lt;/title&gt;&lt;/titles&gt;&lt;pages&gt;XXVIII, 500&lt;/pages&gt;&lt;keywords&gt;&lt;keyword&gt;Regression analysis&lt;/keyword&gt;&lt;/keywords&gt;&lt;dates&gt;&lt;year&gt;2009&lt;/year&gt;&lt;/dates&gt;&lt;pub-location&gt;New York&lt;/pub-location&gt;&lt;publisher&gt;Springer&lt;/publisher&gt;&lt;isbn&gt;978-0-387-77243-1&lt;/isbn&gt;&lt;urls&gt;&lt;/urls&gt;&lt;/record&gt;&lt;/Cite&gt;&lt;/EndNote&gt;</w:instrText>
      </w:r>
      <w:r w:rsidR="004B61B4">
        <w:rPr>
          <w:lang w:val="en-US"/>
        </w:rPr>
        <w:fldChar w:fldCharType="separate"/>
      </w:r>
      <w:r w:rsidR="004B61B4">
        <w:rPr>
          <w:noProof/>
          <w:lang w:val="en-US"/>
        </w:rPr>
        <w:t>(</w:t>
      </w:r>
      <w:hyperlink w:anchor="_ENREF_32" w:tooltip="Steyerberg, 2009 #625" w:history="1">
        <w:r w:rsidR="00BF347F">
          <w:rPr>
            <w:noProof/>
            <w:lang w:val="en-US"/>
          </w:rPr>
          <w:t>Steyerberg, 2009</w:t>
        </w:r>
      </w:hyperlink>
      <w:r w:rsidR="004B61B4">
        <w:rPr>
          <w:noProof/>
          <w:lang w:val="en-US"/>
        </w:rPr>
        <w:t>)</w:t>
      </w:r>
      <w:r w:rsidR="004B61B4">
        <w:rPr>
          <w:lang w:val="en-US"/>
        </w:rPr>
        <w:fldChar w:fldCharType="end"/>
      </w:r>
      <w:r w:rsidR="004844B5">
        <w:rPr>
          <w:lang w:val="en-US"/>
        </w:rPr>
        <w:t>.</w:t>
      </w:r>
    </w:p>
    <w:p w:rsidR="00B85B9F" w:rsidRDefault="00B85B9F" w:rsidP="00C36504">
      <w:pPr>
        <w:spacing w:line="360" w:lineRule="auto"/>
        <w:ind w:firstLine="720"/>
        <w:rPr>
          <w:lang w:val="en-US"/>
        </w:rPr>
      </w:pPr>
      <w:r w:rsidRPr="00A250CB">
        <w:rPr>
          <w:lang w:val="en-US"/>
        </w:rPr>
        <w:t xml:space="preserve">Nowadays, specific interest focuses on ways in which risk prediction can </w:t>
      </w:r>
      <w:r>
        <w:rPr>
          <w:lang w:val="en-US"/>
        </w:rPr>
        <w:t>be improved using novel markers</w:t>
      </w:r>
      <w:r w:rsidR="005F31D7" w:rsidRPr="005F31D7">
        <w:rPr>
          <w:lang w:val="en-US"/>
        </w:rPr>
        <w:t xml:space="preserve"> </w:t>
      </w:r>
      <w:r w:rsidR="004B61B4">
        <w:rPr>
          <w:lang w:val="en-US"/>
        </w:rPr>
        <w:fldChar w:fldCharType="begin"/>
      </w:r>
      <w:r w:rsidR="004B61B4">
        <w:rPr>
          <w:lang w:val="en-US"/>
        </w:rPr>
        <w:instrText xml:space="preserve"> ADDIN EN.CITE &lt;EndNote&gt;&lt;Cite&gt;&lt;Author&gt;Pencina&lt;/Author&gt;&lt;Year&gt;2008&lt;/Year&gt;&lt;RecNum&gt;573&lt;/RecNum&gt;&lt;DisplayText&gt;(Pencina et al., 2008)&lt;/DisplayText&gt;&lt;record&gt;&lt;rec-number&gt;573&lt;/rec-number&gt;&lt;foreign-keys&gt;&lt;key app="EN" db-id="s5at2da0rxdws8ew29spaefwt99szxvvfawz"&gt;573&lt;/key&gt;&lt;/foreign-keys&gt;&lt;ref-type name="Journal Article"&gt;17&lt;/ref-type&gt;&lt;contributors&gt;&lt;authors&gt;&lt;author&gt;Pencina, M. J.&lt;/author&gt;&lt;author&gt;D&amp;apos;Agostino, R. B., Sr.&lt;/author&gt;&lt;author&gt;D&amp;apos;Agostino, R. B., Jr.&lt;/author&gt;&lt;author&gt;Vasan, R. S.&lt;/author&gt;&lt;/authors&gt;&lt;/contributors&gt;&lt;auth-address&gt;Department of Mathematics and Statistics, Framingham Heart Study, Boston University, Boston, MA 02215, USA. mpencina@bu.edu&lt;/auth-address&gt;&lt;titles&gt;&lt;title&gt;Evaluating the added predictive ability of a new marker: from area under the ROC curve to reclassification and beyond&lt;/title&gt;&lt;secondary-title&gt;Stat Med&lt;/secondary-title&gt;&lt;alt-title&gt;Statistics in medicine&lt;/alt-title&gt;&lt;/titles&gt;&lt;periodical&gt;&lt;full-title&gt;Stat Med&lt;/full-title&gt;&lt;/periodical&gt;&lt;pages&gt;157-72; discussion 207-12&lt;/pages&gt;&lt;volume&gt;27&lt;/volume&gt;&lt;number&gt;2&lt;/number&gt;&lt;dates&gt;&lt;year&gt;2008&lt;/year&gt;&lt;pub-dates&gt;&lt;date&gt;Jan 30&lt;/date&gt;&lt;/pub-dates&gt;&lt;/dates&gt;&lt;isbn&gt;0277-6715 (Print)&lt;/isbn&gt;&lt;accession-num&gt;17569110&lt;/accession-num&gt;&lt;urls&gt;&lt;related-urls&gt;&lt;url&gt;http://www.ncbi.nlm.nih.gov/entrez/query.fcgi?cmd=Retrieve&amp;amp;db=PubMed&amp;amp;dopt=Citation&amp;amp;list_uids=17569110 &lt;/url&gt;&lt;/related-urls&gt;&lt;/urls&gt;&lt;language&gt;eng&lt;/language&gt;&lt;/record&gt;&lt;/Cite&gt;&lt;/EndNote&gt;</w:instrText>
      </w:r>
      <w:r w:rsidR="004B61B4">
        <w:rPr>
          <w:lang w:val="en-US"/>
        </w:rPr>
        <w:fldChar w:fldCharType="separate"/>
      </w:r>
      <w:r w:rsidR="004B61B4">
        <w:rPr>
          <w:noProof/>
          <w:lang w:val="en-US"/>
        </w:rPr>
        <w:t>(</w:t>
      </w:r>
      <w:hyperlink w:anchor="_ENREF_24" w:tooltip="Pencina, 2008 #573" w:history="1">
        <w:r w:rsidR="00BF347F">
          <w:rPr>
            <w:noProof/>
            <w:lang w:val="en-US"/>
          </w:rPr>
          <w:t>Pencina et al., 2008</w:t>
        </w:r>
      </w:hyperlink>
      <w:r w:rsidR="004B61B4">
        <w:rPr>
          <w:noProof/>
          <w:lang w:val="en-US"/>
        </w:rPr>
        <w:t>)</w:t>
      </w:r>
      <w:r w:rsidR="004B61B4">
        <w:rPr>
          <w:lang w:val="en-US"/>
        </w:rPr>
        <w:fldChar w:fldCharType="end"/>
      </w:r>
      <w:r w:rsidR="004844B5">
        <w:rPr>
          <w:lang w:val="en-US"/>
        </w:rPr>
        <w:t xml:space="preserve"> </w:t>
      </w:r>
      <w:r w:rsidR="004B61B4">
        <w:rPr>
          <w:lang w:val="en-US"/>
        </w:rPr>
        <w:fldChar w:fldCharType="begin"/>
      </w:r>
      <w:r w:rsidR="004B61B4">
        <w:rPr>
          <w:lang w:val="en-US"/>
        </w:rPr>
        <w:instrText xml:space="preserve"> ADDIN EN.CITE &lt;EndNote&gt;&lt;Cite&gt;&lt;Author&gt;Pencina&lt;/Author&gt;&lt;Year&gt;2010&lt;/Year&gt;&lt;RecNum&gt;6&lt;/RecNum&gt;&lt;DisplayText&gt;(Pencina et al., 2010)&lt;/DisplayText&gt;&lt;record&gt;&lt;rec-number&gt;6&lt;/rec-number&gt;&lt;foreign-keys&gt;&lt;key app="EN" db-id="rtv2prz2p0ttw3ezv01x0raovvzvd0wfxprr"&gt;6&lt;/key&gt;&lt;/foreign-keys&gt;&lt;ref-type name="Journal Article"&gt;17&lt;/ref-type&gt;&lt;contributors&gt;&lt;authors&gt;&lt;author&gt;Pencina, M. J.&lt;/author&gt;&lt;author&gt;D&amp;apos;Agostino, R. B.&lt;/author&gt;&lt;author&gt;Vasan, R. S.&lt;/author&gt;&lt;/authors&gt;&lt;/contributors&gt;&lt;auth-address&gt;Department of Biostatistics, Boston University, Boston, MA 02115, USA. mpencina@bu.edu&lt;/auth-address&gt;&lt;titles&gt;&lt;title&gt;Statistical methods for assessment of added usefulness of new biomarkers&lt;/title&gt;&lt;secondary-title&gt;Clin Chem Lab Med&lt;/secondary-title&gt;&lt;/titles&gt;&lt;periodical&gt;&lt;full-title&gt;Clin Chem Lab Med&lt;/full-title&gt;&lt;/periodical&gt;&lt;pages&gt;1703-11&lt;/pages&gt;&lt;volume&gt;48&lt;/volume&gt;&lt;number&gt;12&lt;/number&gt;&lt;edition&gt;2010/08/19&lt;/edition&gt;&lt;keywords&gt;&lt;keyword&gt;Biological Markers&lt;/keyword&gt;&lt;keyword&gt;Computational Biology&lt;/keyword&gt;&lt;keyword&gt;*Disease Susceptibility&lt;/keyword&gt;&lt;keyword&gt;Heart Diseases&lt;/keyword&gt;&lt;keyword&gt;Humans&lt;/keyword&gt;&lt;keyword&gt;*Models, Statistical&lt;/keyword&gt;&lt;keyword&gt;Risk Assessment/*statistics &amp;amp; numerical data&lt;/keyword&gt;&lt;/keywords&gt;&lt;dates&gt;&lt;year&gt;2010&lt;/year&gt;&lt;pub-dates&gt;&lt;date&gt;Dec&lt;/date&gt;&lt;/pub-dates&gt;&lt;/dates&gt;&lt;isbn&gt;1434-6621 (Print)&amp;#xD;1434-6621 (Linking)&lt;/isbn&gt;&lt;accession-num&gt;20716010&lt;/accession-num&gt;&lt;urls&gt;&lt;related-urls&gt;&lt;url&gt;http://www.ncbi.nlm.nih.gov/pubmed/20716010&lt;/url&gt;&lt;/related-urls&gt;&lt;/urls&gt;&lt;custom2&gt;3155999&lt;/custom2&gt;&lt;electronic-resource-num&gt;10.1515/CCLM.2010.340&lt;/electronic-resource-num&gt;&lt;language&gt;eng&lt;/language&gt;&lt;/record&gt;&lt;/Cite&gt;&lt;/EndNote&gt;</w:instrText>
      </w:r>
      <w:r w:rsidR="004B61B4">
        <w:rPr>
          <w:lang w:val="en-US"/>
        </w:rPr>
        <w:fldChar w:fldCharType="separate"/>
      </w:r>
      <w:r w:rsidR="004B61B4">
        <w:rPr>
          <w:noProof/>
          <w:lang w:val="en-US"/>
        </w:rPr>
        <w:t>(</w:t>
      </w:r>
      <w:hyperlink w:anchor="_ENREF_27" w:tooltip="Pencina, 2010 #6" w:history="1">
        <w:r w:rsidR="00BF347F">
          <w:rPr>
            <w:noProof/>
            <w:lang w:val="en-US"/>
          </w:rPr>
          <w:t>Pencina et al., 2010</w:t>
        </w:r>
      </w:hyperlink>
      <w:r w:rsidR="004B61B4">
        <w:rPr>
          <w:noProof/>
          <w:lang w:val="en-US"/>
        </w:rPr>
        <w:t>)</w:t>
      </w:r>
      <w:r w:rsidR="004B61B4">
        <w:rPr>
          <w:lang w:val="en-US"/>
        </w:rPr>
        <w:fldChar w:fldCharType="end"/>
      </w:r>
      <w:r w:rsidR="004844B5">
        <w:rPr>
          <w:lang w:val="en-US"/>
        </w:rPr>
        <w:t xml:space="preserve"> </w:t>
      </w:r>
      <w:r w:rsidR="004B61B4">
        <w:rPr>
          <w:lang w:val="en-US"/>
        </w:rPr>
        <w:fldChar w:fldCharType="begin"/>
      </w:r>
      <w:r w:rsidR="004B61B4">
        <w:rPr>
          <w:lang w:val="en-US"/>
        </w:rPr>
        <w:instrText xml:space="preserve"> ADDIN EN.CITE &lt;EndNote&gt;&lt;Cite&gt;&lt;Author&gt;Pencina&lt;/Author&gt;&lt;Year&gt;2011&lt;/Year&gt;&lt;RecNum&gt;760&lt;/RecNum&gt;&lt;DisplayText&gt;(Pencina et al., 2011)&lt;/DisplayText&gt;&lt;record&gt;&lt;rec-number&gt;760&lt;/rec-number&gt;&lt;foreign-keys&gt;&lt;key app="EN" db-id="s5at2da0rxdws8ew29spaefwt99szxvvfawz"&gt;760&lt;/key&gt;&lt;/foreign-keys&gt;&lt;ref-type name="Journal Article"&gt;17&lt;/ref-type&gt;&lt;contributors&gt;&lt;authors&gt;&lt;author&gt;Pencina, M. J.&lt;/author&gt;&lt;author&gt;D&amp;apos;Agostino, R. B., Sr.&lt;/author&gt;&lt;author&gt;Steyerberg, E. W.&lt;/author&gt;&lt;/authors&gt;&lt;/contributors&gt;&lt;auth-address&gt;Department of Biostatistics, Boston University, 801 Massachusetts Ave, Boston, MA 02118, USA. mpencina@bu.edu&lt;/auth-address&gt;&lt;titles&gt;&lt;title&gt;Extensions of net reclassification improvement calculations to measure usefulness of new biomarkers&lt;/title&gt;&lt;secondary-title&gt;Stat Med&lt;/secondary-title&gt;&lt;/titles&gt;&lt;periodical&gt;&lt;full-title&gt;Stat Med&lt;/full-title&gt;&lt;/periodical&gt;&lt;pages&gt;11-21&lt;/pages&gt;&lt;volume&gt;30&lt;/volume&gt;&lt;number&gt;1&lt;/number&gt;&lt;edition&gt;2011/01/05&lt;/edition&gt;&lt;keywords&gt;&lt;keyword&gt;Adult&lt;/keyword&gt;&lt;keyword&gt;Aged&lt;/keyword&gt;&lt;keyword&gt;Biological Markers/*analysis&lt;/keyword&gt;&lt;keyword&gt;Case-Control Studies&lt;/keyword&gt;&lt;keyword&gt;Coronary Disease/epidemiology/metabolism&lt;/keyword&gt;&lt;keyword&gt;Female&lt;/keyword&gt;&lt;keyword&gt;Humans&lt;/keyword&gt;&lt;keyword&gt;Kaplan-Meier Estimate&lt;/keyword&gt;&lt;keyword&gt;Longitudinal Studies&lt;/keyword&gt;&lt;keyword&gt;Male&lt;/keyword&gt;&lt;keyword&gt;Middle Aged&lt;/keyword&gt;&lt;keyword&gt;*Models, Biological&lt;/keyword&gt;&lt;keyword&gt;*Models, Statistical&lt;/keyword&gt;&lt;keyword&gt;Risk Assessment/*methods&lt;/keyword&gt;&lt;/keywords&gt;&lt;dates&gt;&lt;year&gt;2011&lt;/year&gt;&lt;pub-dates&gt;&lt;date&gt;Jan 15&lt;/date&gt;&lt;/pub-dates&gt;&lt;/dates&gt;&lt;isbn&gt;1097-0258 (Electronic)&amp;#xD;0277-6715 (Linking)&lt;/isbn&gt;&lt;accession-num&gt;21204120&lt;/accession-num&gt;&lt;urls&gt;&lt;related-urls&gt;&lt;url&gt;http://www.ncbi.nlm.nih.gov/entrez/query.fcgi?cmd=Retrieve&amp;amp;db=PubMed&amp;amp;dopt=Citation&amp;amp;list_uids=21204120&lt;/url&gt;&lt;/related-urls&gt;&lt;/urls&gt;&lt;electronic-resource-num&gt;10.1002/sim.4085&lt;/electronic-resource-num&gt;&lt;language&gt;eng&lt;/language&gt;&lt;/record&gt;&lt;/Cite&gt;&lt;/EndNote&gt;</w:instrText>
      </w:r>
      <w:r w:rsidR="004B61B4">
        <w:rPr>
          <w:lang w:val="en-US"/>
        </w:rPr>
        <w:fldChar w:fldCharType="separate"/>
      </w:r>
      <w:r w:rsidR="004B61B4">
        <w:rPr>
          <w:noProof/>
          <w:lang w:val="en-US"/>
        </w:rPr>
        <w:t>(</w:t>
      </w:r>
      <w:hyperlink w:anchor="_ENREF_26" w:tooltip="Pencina, 2011 #760" w:history="1">
        <w:r w:rsidR="00BF347F">
          <w:rPr>
            <w:noProof/>
            <w:lang w:val="en-US"/>
          </w:rPr>
          <w:t>Pencina et al., 2011</w:t>
        </w:r>
      </w:hyperlink>
      <w:r w:rsidR="004B61B4">
        <w:rPr>
          <w:noProof/>
          <w:lang w:val="en-US"/>
        </w:rPr>
        <w:t>)</w:t>
      </w:r>
      <w:r w:rsidR="004B61B4">
        <w:rPr>
          <w:lang w:val="en-US"/>
        </w:rPr>
        <w:fldChar w:fldCharType="end"/>
      </w:r>
      <w:r w:rsidR="005F31D7" w:rsidRPr="005F31D7">
        <w:rPr>
          <w:lang w:val="en-US"/>
        </w:rPr>
        <w:t xml:space="preserve"> </w:t>
      </w:r>
      <w:r w:rsidR="004B61B4">
        <w:rPr>
          <w:lang w:val="en-US"/>
        </w:rPr>
        <w:fldChar w:fldCharType="begin"/>
      </w:r>
      <w:r w:rsidR="004B61B4">
        <w:rPr>
          <w:lang w:val="en-US"/>
        </w:rPr>
        <w:instrText xml:space="preserve"> ADDIN EN.CITE &lt;EndNote&gt;&lt;Cite&gt;&lt;Author&gt;Pencina&lt;/Author&gt;&lt;Year&gt;2012&lt;/Year&gt;&lt;RecNum&gt;7&lt;/RecNum&gt;&lt;DisplayText&gt;(Pencina et al., 2012b)&lt;/DisplayText&gt;&lt;record&gt;&lt;rec-number&gt;7&lt;/rec-number&gt;&lt;foreign-keys&gt;&lt;key app="EN" db-id="rtv2prz2p0ttw3ezv01x0raovvzvd0wfxprr"&gt;7&lt;/key&gt;&lt;/foreign-keys&gt;&lt;ref-type name="Journal Article"&gt;17&lt;/ref-type&gt;&lt;contributors&gt;&lt;authors&gt;&lt;author&gt;Pencina, M. J.&lt;/author&gt;&lt;author&gt;D&amp;apos;Agostino, R. B., Sr.&lt;/author&gt;&lt;author&gt;Demler, O. V.&lt;/author&gt;&lt;/authors&gt;&lt;/contributors&gt;&lt;auth-address&gt;Department of Biostatistics, Boston University, Cross Town, Boston, MA, USA. mpencina@bu.edu&lt;/auth-address&gt;&lt;titles&gt;&lt;title&gt;Novel metrics for evaluating improvement in discrimination: net reclassification and integrated discrimination improvement for normal variables and nested models&lt;/title&gt;&lt;secondary-title&gt;Stat Med&lt;/secondary-title&gt;&lt;/titles&gt;&lt;periodical&gt;&lt;full-title&gt;Stat Med&lt;/full-title&gt;&lt;/periodical&gt;&lt;pages&gt;101-13&lt;/pages&gt;&lt;volume&gt;31&lt;/volume&gt;&lt;number&gt;2&lt;/number&gt;&lt;edition&gt;2011/12/08&lt;/edition&gt;&lt;keywords&gt;&lt;keyword&gt;Cardiovascular Diseases/prevention &amp;amp; control&lt;/keyword&gt;&lt;keyword&gt;*Discriminant Analysis&lt;/keyword&gt;&lt;keyword&gt;*Epidemiologic Research Design&lt;/keyword&gt;&lt;keyword&gt;Humans&lt;/keyword&gt;&lt;keyword&gt;Male&lt;/keyword&gt;&lt;keyword&gt;Models, Statistical&lt;/keyword&gt;&lt;keyword&gt;*ROC Curve&lt;/keyword&gt;&lt;keyword&gt;Risk Assessment/*methods&lt;/keyword&gt;&lt;/keywords&gt;&lt;dates&gt;&lt;year&gt;2012&lt;/year&gt;&lt;pub-dates&gt;&lt;date&gt;Jan 30&lt;/date&gt;&lt;/pub-dates&gt;&lt;/dates&gt;&lt;isbn&gt;1097-0258 (Electronic)&amp;#xD;0277-6715 (Linking)&lt;/isbn&gt;&lt;accession-num&gt;22147389&lt;/accession-num&gt;&lt;urls&gt;&lt;related-urls&gt;&lt;url&gt;http://www.ncbi.nlm.nih.gov/pubmed/22147389&lt;/url&gt;&lt;/related-urls&gt;&lt;/urls&gt;&lt;custom2&gt;3341978&lt;/custom2&gt;&lt;electronic-resource-num&gt;10.1002/sim.4348&lt;/electronic-resource-num&gt;&lt;language&gt;eng&lt;/language&gt;&lt;/record&gt;&lt;/Cite&gt;&lt;/EndNote&gt;</w:instrText>
      </w:r>
      <w:r w:rsidR="004B61B4">
        <w:rPr>
          <w:lang w:val="en-US"/>
        </w:rPr>
        <w:fldChar w:fldCharType="separate"/>
      </w:r>
      <w:r w:rsidR="004B61B4">
        <w:rPr>
          <w:noProof/>
          <w:lang w:val="en-US"/>
        </w:rPr>
        <w:t>(</w:t>
      </w:r>
      <w:hyperlink w:anchor="_ENREF_25" w:tooltip="Pencina, 2012 #7" w:history="1">
        <w:r w:rsidR="00BF347F">
          <w:rPr>
            <w:noProof/>
            <w:lang w:val="en-US"/>
          </w:rPr>
          <w:t>Pencina et al., 2012b</w:t>
        </w:r>
      </w:hyperlink>
      <w:r w:rsidR="004B61B4">
        <w:rPr>
          <w:noProof/>
          <w:lang w:val="en-US"/>
        </w:rPr>
        <w:t>)</w:t>
      </w:r>
      <w:r w:rsidR="004B61B4">
        <w:rPr>
          <w:lang w:val="en-US"/>
        </w:rPr>
        <w:fldChar w:fldCharType="end"/>
      </w:r>
      <w:r w:rsidR="004844B5">
        <w:rPr>
          <w:lang w:val="en-US"/>
        </w:rPr>
        <w:t>.</w:t>
      </w:r>
      <w:r>
        <w:rPr>
          <w:lang w:val="en-US"/>
        </w:rPr>
        <w:t xml:space="preserve"> Markers may include information from simple demographics or blood markers to genomics, proteomics</w:t>
      </w:r>
      <w:r w:rsidRPr="00A250CB">
        <w:rPr>
          <w:lang w:val="en-US"/>
        </w:rPr>
        <w:t xml:space="preserve">, and </w:t>
      </w:r>
      <w:r>
        <w:rPr>
          <w:lang w:val="en-US"/>
        </w:rPr>
        <w:t xml:space="preserve">advanced </w:t>
      </w:r>
      <w:r w:rsidRPr="00A250CB">
        <w:rPr>
          <w:lang w:val="en-US"/>
        </w:rPr>
        <w:t>imaging</w:t>
      </w:r>
      <w:r>
        <w:rPr>
          <w:lang w:val="en-US"/>
        </w:rPr>
        <w:t xml:space="preserve"> techniques</w:t>
      </w:r>
      <w:r w:rsidRPr="00A250CB">
        <w:rPr>
          <w:lang w:val="en-US"/>
        </w:rPr>
        <w:t xml:space="preserve">. </w:t>
      </w:r>
      <w:r>
        <w:rPr>
          <w:lang w:val="en-US"/>
        </w:rPr>
        <w:t>Such</w:t>
      </w:r>
      <w:r w:rsidRPr="00A250CB">
        <w:rPr>
          <w:lang w:val="en-US"/>
        </w:rPr>
        <w:t xml:space="preserve"> markers hold the promise of bringing personalized medicine closer. An important question is how to evaluate the usefulness of a new marker in making better decisions</w:t>
      </w:r>
      <w:r>
        <w:rPr>
          <w:lang w:val="en-US"/>
        </w:rPr>
        <w:t xml:space="preserve"> in clinical practice</w:t>
      </w:r>
      <w:r w:rsidRPr="00A250CB">
        <w:rPr>
          <w:lang w:val="en-US"/>
        </w:rPr>
        <w:t>, such as better targeting of statin therapy to those at increased risk</w:t>
      </w:r>
      <w:r>
        <w:rPr>
          <w:lang w:val="en-US"/>
        </w:rPr>
        <w:t xml:space="preserve"> of cardiovascular disease</w:t>
      </w:r>
      <w:r w:rsidR="004844B5">
        <w:rPr>
          <w:lang w:val="en-US"/>
        </w:rPr>
        <w:t xml:space="preserve"> </w:t>
      </w:r>
      <w:r w:rsidR="004B61B4">
        <w:rPr>
          <w:lang w:val="en-US"/>
        </w:rPr>
        <w:fldChar w:fldCharType="begin"/>
      </w:r>
      <w:r w:rsidR="004B61B4">
        <w:rPr>
          <w:lang w:val="en-US"/>
        </w:rPr>
        <w:instrText xml:space="preserve"> ADDIN EN.CITE &lt;EndNote&gt;&lt;Cite&gt;&lt;Author&gt;Ridker&lt;/Author&gt;&lt;Year&gt;2007&lt;/Year&gt;&lt;RecNum&gt;890&lt;/RecNum&gt;&lt;DisplayText&gt;(Ridker et al., 2007)&lt;/DisplayText&gt;&lt;record&gt;&lt;rec-number&gt;890&lt;/rec-number&gt;&lt;foreign-keys&gt;&lt;key app="EN" db-id="s5at2da0rxdws8ew29spaefwt99szxvvfawz"&gt;890&lt;/key&gt;&lt;/foreign-keys&gt;&lt;ref-type name="Journal Article"&gt;17&lt;/ref-type&gt;&lt;contributors&gt;&lt;authors&gt;&lt;author&gt;Ridker, P. M.&lt;/author&gt;&lt;author&gt;Buring, J. E.&lt;/author&gt;&lt;author&gt;Rifai, N.&lt;/author&gt;&lt;author&gt;Cook, N. R.&lt;/author&gt;&lt;/authors&gt;&lt;/contributors&gt;&lt;auth-address&gt;Donald W. Reynolds Center for Cardiovascular Research and the Center for Cardiovascular Disease Prevention, Brigham and Women&amp;apos;s Hospital, Boston, MA 02215, USA. pridker@partners.org&lt;/auth-address&gt;&lt;titles&gt;&lt;title&gt;Development and validation of improved algorithms for the assessment of global cardiovascular risk in women: the Reynolds Risk Score&lt;/title&gt;&lt;secondary-title&gt;JAMA&lt;/secondary-title&gt;&lt;alt-title&gt;JAMA : the journal of the American Medical Association&lt;/alt-title&gt;&lt;/titles&gt;&lt;periodical&gt;&lt;full-title&gt;Jama&lt;/full-title&gt;&lt;/periodical&gt;&lt;pages&gt;611-9&lt;/pages&gt;&lt;volume&gt;297&lt;/volume&gt;&lt;number&gt;6&lt;/number&gt;&lt;keywords&gt;&lt;keyword&gt;*Algorithms&lt;/keyword&gt;&lt;keyword&gt;Cardiovascular Diseases/*epidemiology&lt;/keyword&gt;&lt;keyword&gt;Female&lt;/keyword&gt;&lt;keyword&gt;Humans&lt;/keyword&gt;&lt;keyword&gt;Middle Aged&lt;/keyword&gt;&lt;keyword&gt;Models, Statistical&lt;/keyword&gt;&lt;keyword&gt;*Risk Assessment&lt;/keyword&gt;&lt;keyword&gt;Risk Factors&lt;/keyword&gt;&lt;/keywords&gt;&lt;dates&gt;&lt;year&gt;2007&lt;/year&gt;&lt;pub-dates&gt;&lt;date&gt;Feb 14&lt;/date&gt;&lt;/pub-dates&gt;&lt;/dates&gt;&lt;isbn&gt;1538-3598 (Electronic)&amp;#xD;0098-7484 (Linking)&lt;/isbn&gt;&lt;accession-num&gt;17299196&lt;/accession-num&gt;&lt;urls&gt;&lt;related-urls&gt;&lt;url&gt;http://www.ncbi.nlm.nih.gov/pubmed/17299196&lt;/url&gt;&lt;/related-urls&gt;&lt;/urls&gt;&lt;electronic-resource-num&gt;10.1001/jama.297.6.611&lt;/electronic-resource-num&gt;&lt;/record&gt;&lt;/Cite&gt;&lt;/EndNote&gt;</w:instrText>
      </w:r>
      <w:r w:rsidR="004B61B4">
        <w:rPr>
          <w:lang w:val="en-US"/>
        </w:rPr>
        <w:fldChar w:fldCharType="separate"/>
      </w:r>
      <w:r w:rsidR="004B61B4">
        <w:rPr>
          <w:noProof/>
          <w:lang w:val="en-US"/>
        </w:rPr>
        <w:t>(</w:t>
      </w:r>
      <w:hyperlink w:anchor="_ENREF_30" w:tooltip="Ridker, 2007 #890" w:history="1">
        <w:r w:rsidR="00BF347F">
          <w:rPr>
            <w:noProof/>
            <w:lang w:val="en-US"/>
          </w:rPr>
          <w:t>Ridker et al., 2007</w:t>
        </w:r>
      </w:hyperlink>
      <w:r w:rsidR="004B61B4">
        <w:rPr>
          <w:noProof/>
          <w:lang w:val="en-US"/>
        </w:rPr>
        <w:t>)</w:t>
      </w:r>
      <w:r w:rsidR="004B61B4">
        <w:rPr>
          <w:lang w:val="en-US"/>
        </w:rPr>
        <w:fldChar w:fldCharType="end"/>
      </w:r>
      <w:r w:rsidRPr="00A250CB">
        <w:rPr>
          <w:lang w:val="en-US"/>
        </w:rPr>
        <w:t>.</w:t>
      </w:r>
      <w:r>
        <w:rPr>
          <w:lang w:val="en-US"/>
        </w:rPr>
        <w:t xml:space="preserve"> Various measures have been proposed to quantify usefulness, including the Net Reclassification Improvement (NRI)</w:t>
      </w:r>
      <w:r w:rsidR="00E67E2C">
        <w:rPr>
          <w:lang w:val="en-US"/>
        </w:rPr>
        <w:t xml:space="preserve"> </w:t>
      </w:r>
      <w:r w:rsidR="004B61B4">
        <w:rPr>
          <w:lang w:val="en-US"/>
        </w:rPr>
        <w:fldChar w:fldCharType="begin"/>
      </w:r>
      <w:r w:rsidR="004B61B4">
        <w:rPr>
          <w:lang w:val="en-US"/>
        </w:rPr>
        <w:instrText xml:space="preserve"> ADDIN EN.CITE &lt;EndNote&gt;&lt;Cite&gt;&lt;Author&gt;Pencina&lt;/Author&gt;&lt;Year&gt;2008&lt;/Year&gt;&lt;RecNum&gt;573&lt;/RecNum&gt;&lt;DisplayText&gt;(Pencina et al., 2008)&lt;/DisplayText&gt;&lt;record&gt;&lt;rec-number&gt;573&lt;/rec-number&gt;&lt;foreign-keys&gt;&lt;key app="EN" db-id="s5at2da0rxdws8ew29spaefwt99szxvvfawz"&gt;573&lt;/key&gt;&lt;/foreign-keys&gt;&lt;ref-type name="Journal Article"&gt;17&lt;/ref-type&gt;&lt;contributors&gt;&lt;authors&gt;&lt;author&gt;Pencina, M. J.&lt;/author&gt;&lt;author&gt;D&amp;apos;Agostino, R. B., Sr.&lt;/author&gt;&lt;author&gt;D&amp;apos;Agostino, R. B., Jr.&lt;/author&gt;&lt;author&gt;Vasan, R. S.&lt;/author&gt;&lt;/authors&gt;&lt;/contributors&gt;&lt;auth-address&gt;Department of Mathematics and Statistics, Framingham Heart Study, Boston University, Boston, MA 02215, USA. mpencina@bu.edu&lt;/auth-address&gt;&lt;titles&gt;&lt;title&gt;Evaluating the added predictive ability of a new marker: from area under the ROC curve to reclassification and beyond&lt;/title&gt;&lt;secondary-title&gt;Stat Med&lt;/secondary-title&gt;&lt;alt-title&gt;Statistics in medicine&lt;/alt-title&gt;&lt;/titles&gt;&lt;periodical&gt;&lt;full-title&gt;Stat Med&lt;/full-title&gt;&lt;/periodical&gt;&lt;pages&gt;157-72; discussion 207-12&lt;/pages&gt;&lt;volume&gt;27&lt;/volume&gt;&lt;number&gt;2&lt;/number&gt;&lt;dates&gt;&lt;year&gt;2008&lt;/year&gt;&lt;pub-dates&gt;&lt;date&gt;Jan 30&lt;/date&gt;&lt;/pub-dates&gt;&lt;/dates&gt;&lt;isbn&gt;0277-6715 (Print)&lt;/isbn&gt;&lt;accession-num&gt;17569110&lt;/accession-num&gt;&lt;urls&gt;&lt;related-urls&gt;&lt;url&gt;http://www.ncbi.nlm.nih.gov/entrez/query.fcgi?cmd=Retrieve&amp;amp;db=PubMed&amp;amp;dopt=Citation&amp;amp;list_uids=17569110 &lt;/url&gt;&lt;/related-urls&gt;&lt;/urls&gt;&lt;language&gt;eng&lt;/language&gt;&lt;/record&gt;&lt;/Cite&gt;&lt;/EndNote&gt;</w:instrText>
      </w:r>
      <w:r w:rsidR="004B61B4">
        <w:rPr>
          <w:lang w:val="en-US"/>
        </w:rPr>
        <w:fldChar w:fldCharType="separate"/>
      </w:r>
      <w:r w:rsidR="004B61B4">
        <w:rPr>
          <w:noProof/>
          <w:lang w:val="en-US"/>
        </w:rPr>
        <w:t>(</w:t>
      </w:r>
      <w:hyperlink w:anchor="_ENREF_24" w:tooltip="Pencina, 2008 #573" w:history="1">
        <w:r w:rsidR="00BF347F">
          <w:rPr>
            <w:noProof/>
            <w:lang w:val="en-US"/>
          </w:rPr>
          <w:t>Pencina et al., 2008</w:t>
        </w:r>
      </w:hyperlink>
      <w:r w:rsidR="004B61B4">
        <w:rPr>
          <w:noProof/>
          <w:lang w:val="en-US"/>
        </w:rPr>
        <w:t>)</w:t>
      </w:r>
      <w:r w:rsidR="004B61B4">
        <w:rPr>
          <w:lang w:val="en-US"/>
        </w:rPr>
        <w:fldChar w:fldCharType="end"/>
      </w:r>
      <w:r>
        <w:rPr>
          <w:lang w:val="en-US"/>
        </w:rPr>
        <w:t xml:space="preserve">, and decision analytic variants such as the Net Benefit (NB) </w:t>
      </w:r>
      <w:r w:rsidR="004B61B4">
        <w:rPr>
          <w:lang w:val="en-US"/>
        </w:rPr>
        <w:fldChar w:fldCharType="begin"/>
      </w:r>
      <w:r w:rsidR="004B61B4">
        <w:rPr>
          <w:lang w:val="en-US"/>
        </w:rPr>
        <w:instrText xml:space="preserve"> ADDIN EN.CITE &lt;EndNote&gt;&lt;Cite&gt;&lt;Author&gt;Vickers&lt;/Author&gt;&lt;Year&gt;2006&lt;/Year&gt;&lt;RecNum&gt;403&lt;/RecNum&gt;&lt;DisplayText&gt;(Vickers &amp;amp; Elkin, 2006)&lt;/DisplayText&gt;&lt;record&gt;&lt;rec-number&gt;403&lt;/rec-number&gt;&lt;foreign-keys&gt;&lt;key app="EN" db-id="s5at2da0rxdws8ew29spaefwt99szxvvfawz"&gt;403&lt;/key&gt;&lt;/foreign-keys&gt;&lt;ref-type name="Journal Article"&gt;17&lt;/ref-type&gt;&lt;contributors&gt;&lt;authors&gt;&lt;author&gt;Vickers, A. J.&lt;/author&gt;&lt;author&gt;Elkin, E. B.&lt;/author&gt;&lt;/authors&gt;&lt;/contributors&gt;&lt;auth-address&gt;Department of Epidemiology and Biostatistics, Memorial Sloan-Kettering Cancer Center, New York, USA. vickersa@mskcc.org&lt;/auth-address&gt;&lt;titles&gt;&lt;title&gt;Decision curve analysis: a novel method for evaluating prediction models&lt;/title&gt;&lt;secondary-title&gt;Med Decis Making&lt;/secondary-title&gt;&lt;/titles&gt;&lt;periodical&gt;&lt;full-title&gt;Med Decis Making&lt;/full-title&gt;&lt;/periodical&gt;&lt;pages&gt;565-74&lt;/pages&gt;&lt;volume&gt;26&lt;/volume&gt;&lt;number&gt;6&lt;/number&gt;&lt;dates&gt;&lt;year&gt;2006&lt;/year&gt;&lt;pub-dates&gt;&lt;date&gt;Nov-Dec&lt;/date&gt;&lt;/pub-dates&gt;&lt;/dates&gt;&lt;isbn&gt;0272-989X (Print)&lt;/isbn&gt;&lt;accession-num&gt;17099194&lt;/accession-num&gt;&lt;urls&gt;&lt;related-urls&gt;&lt;url&gt;http://www.ncbi.nlm.nih.gov/entrez/query.fcgi?cmd=Retrieve&amp;amp;db=PubMed&amp;amp;dopt=Citation&amp;amp;list_uids=17099194&lt;/url&gt;&lt;/related-urls&gt;&lt;/urls&gt;&lt;/record&gt;&lt;/Cite&gt;&lt;/EndNote&gt;</w:instrText>
      </w:r>
      <w:r w:rsidR="004B61B4">
        <w:rPr>
          <w:lang w:val="en-US"/>
        </w:rPr>
        <w:fldChar w:fldCharType="separate"/>
      </w:r>
      <w:r w:rsidR="004B61B4">
        <w:rPr>
          <w:noProof/>
          <w:lang w:val="en-US"/>
        </w:rPr>
        <w:t>(</w:t>
      </w:r>
      <w:hyperlink w:anchor="_ENREF_42" w:tooltip="Vickers, 2006 #403" w:history="1">
        <w:r w:rsidR="00BF347F">
          <w:rPr>
            <w:noProof/>
            <w:lang w:val="en-US"/>
          </w:rPr>
          <w:t>Vickers &amp; Elkin, 2006</w:t>
        </w:r>
      </w:hyperlink>
      <w:r w:rsidR="004B61B4">
        <w:rPr>
          <w:noProof/>
          <w:lang w:val="en-US"/>
        </w:rPr>
        <w:t>)</w:t>
      </w:r>
      <w:r w:rsidR="004B61B4">
        <w:rPr>
          <w:lang w:val="en-US"/>
        </w:rPr>
        <w:fldChar w:fldCharType="end"/>
      </w:r>
      <w:r w:rsidR="00E67E2C" w:rsidRPr="00E67E2C">
        <w:rPr>
          <w:lang w:val="en-US"/>
        </w:rPr>
        <w:t xml:space="preserve"> </w:t>
      </w:r>
      <w:r>
        <w:rPr>
          <w:lang w:val="en-US"/>
        </w:rPr>
        <w:t>and Relative Utility (RU)</w:t>
      </w:r>
      <w:r w:rsidR="00E67E2C" w:rsidRPr="00E67E2C">
        <w:rPr>
          <w:lang w:val="en-US"/>
        </w:rPr>
        <w:t xml:space="preserve"> </w:t>
      </w:r>
      <w:r w:rsidR="004B61B4">
        <w:rPr>
          <w:lang w:val="en-US"/>
        </w:rPr>
        <w:fldChar w:fldCharType="begin"/>
      </w:r>
      <w:r w:rsidR="004B61B4">
        <w:rPr>
          <w:lang w:val="en-US"/>
        </w:rPr>
        <w:instrText xml:space="preserve"> ADDIN EN.CITE &lt;EndNote&gt;&lt;Cite&gt;&lt;Author&gt;Baker&lt;/Author&gt;&lt;Year&gt;2009&lt;/Year&gt;&lt;RecNum&gt;10&lt;/RecNum&gt;&lt;DisplayText&gt;(Baker et al., 2009)&lt;/DisplayText&gt;&lt;record&gt;&lt;rec-number&gt;10&lt;/rec-number&gt;&lt;foreign-keys&gt;&lt;key app="EN" db-id="rtv2prz2p0ttw3ezv01x0raovvzvd0wfxprr"&gt;10&lt;/key&gt;&lt;/foreign-keys&gt;&lt;ref-type name="Journal Article"&gt;17&lt;/ref-type&gt;&lt;contributors&gt;&lt;authors&gt;&lt;author&gt;Baker, S. G.&lt;/author&gt;&lt;author&gt;Cook, N. R.&lt;/author&gt;&lt;author&gt;Vickers, A.&lt;/author&gt;&lt;author&gt;Kramer, B. S.&lt;/author&gt;&lt;/authors&gt;&lt;/contributors&gt;&lt;auth-address&gt;National Cancer Institute, Bethesda, USA.&lt;/auth-address&gt;&lt;titles&gt;&lt;title&gt;Using relative utility curves to evaluate risk prediction&lt;/title&gt;&lt;secondary-title&gt;J R Stat Soc Ser A Stat Soc&lt;/secondary-title&gt;&lt;/titles&gt;&lt;periodical&gt;&lt;full-title&gt;J R Stat Soc Ser A Stat Soc&lt;/full-title&gt;&lt;/periodical&gt;&lt;pages&gt;729-748&lt;/pages&gt;&lt;volume&gt;172&lt;/volume&gt;&lt;number&gt;4&lt;/number&gt;&lt;edition&gt;2010/01/14&lt;/edition&gt;&lt;dates&gt;&lt;year&gt;2009&lt;/year&gt;&lt;pub-dates&gt;&lt;date&gt;Oct 1&lt;/date&gt;&lt;/pub-dates&gt;&lt;/dates&gt;&lt;isbn&gt;0964-1998 (Print)&amp;#xD;0964-1998 (Linking)&lt;/isbn&gt;&lt;accession-num&gt;20069131&lt;/accession-num&gt;&lt;urls&gt;&lt;related-urls&gt;&lt;url&gt;http://www.ncbi.nlm.nih.gov/pubmed/20069131&lt;/url&gt;&lt;/related-urls&gt;&lt;/urls&gt;&lt;custom2&gt;2804257&lt;/custom2&gt;&lt;electronic-resource-num&gt;10.1111/j.1467-985X.2009.00592.x&lt;/electronic-resource-num&gt;&lt;language&gt;Eng&lt;/language&gt;&lt;/record&gt;&lt;/Cite&gt;&lt;/EndNote&gt;</w:instrText>
      </w:r>
      <w:r w:rsidR="004B61B4">
        <w:rPr>
          <w:lang w:val="en-US"/>
        </w:rPr>
        <w:fldChar w:fldCharType="separate"/>
      </w:r>
      <w:r w:rsidR="004B61B4">
        <w:rPr>
          <w:noProof/>
          <w:lang w:val="en-US"/>
        </w:rPr>
        <w:t>(</w:t>
      </w:r>
      <w:hyperlink w:anchor="_ENREF_3" w:tooltip="Baker, 2009 #10" w:history="1">
        <w:r w:rsidR="00BF347F">
          <w:rPr>
            <w:noProof/>
            <w:lang w:val="en-US"/>
          </w:rPr>
          <w:t>Baker et al., 2009</w:t>
        </w:r>
      </w:hyperlink>
      <w:r w:rsidR="004B61B4">
        <w:rPr>
          <w:noProof/>
          <w:lang w:val="en-US"/>
        </w:rPr>
        <w:t>)</w:t>
      </w:r>
      <w:r w:rsidR="004B61B4">
        <w:rPr>
          <w:lang w:val="en-US"/>
        </w:rPr>
        <w:fldChar w:fldCharType="end"/>
      </w:r>
      <w:r>
        <w:rPr>
          <w:lang w:val="en-US"/>
        </w:rPr>
        <w:t xml:space="preserve">. The latter measures have </w:t>
      </w:r>
      <w:r w:rsidR="00C36504">
        <w:rPr>
          <w:lang w:val="en-US"/>
        </w:rPr>
        <w:t>important</w:t>
      </w:r>
      <w:r>
        <w:rPr>
          <w:lang w:val="en-US"/>
        </w:rPr>
        <w:t xml:space="preserve"> theoretical advantages</w:t>
      </w:r>
      <w:r w:rsidR="00461428">
        <w:rPr>
          <w:lang w:val="en-US"/>
        </w:rPr>
        <w:t xml:space="preserve"> </w:t>
      </w:r>
      <w:r w:rsidR="004B61B4">
        <w:rPr>
          <w:lang w:val="en-US"/>
        </w:rPr>
        <w:fldChar w:fldCharType="begin"/>
      </w:r>
      <w:r w:rsidR="004B61B4">
        <w:rPr>
          <w:lang w:val="en-US"/>
        </w:rPr>
        <w:instrText xml:space="preserve"> ADDIN EN.CITE &lt;EndNote&gt;&lt;Cite&gt;&lt;Author&gt;Van Calster&lt;/Author&gt;&lt;Year&gt;2013&lt;/Year&gt;&lt;RecNum&gt;877&lt;/RecNum&gt;&lt;DisplayText&gt;(Van Calster et al., 2013)&lt;/DisplayText&gt;&lt;record&gt;&lt;rec-number&gt;877&lt;/rec-number&gt;&lt;foreign-keys&gt;&lt;key app="EN" db-id="s5at2da0rxdws8ew29spaefwt99szxvvfawz"&gt;877&lt;/key&gt;&lt;/foreign-keys&gt;&lt;ref-type name="Journal Article"&gt;17&lt;/ref-type&gt;&lt;contributors&gt;&lt;authors&gt;&lt;author&gt;Van Calster, B.&lt;/author&gt;&lt;author&gt;Vickers, A. J.&lt;/author&gt;&lt;author&gt;Pencina, M. J.&lt;/author&gt;&lt;author&gt;Baker, S. G.&lt;/author&gt;&lt;author&gt;Timmerman, D.&lt;/author&gt;&lt;author&gt;Steyerberg, E. W.&lt;/author&gt;&lt;/authors&gt;&lt;/contributors&gt;&lt;auth-address&gt;Department of Development and Regeneration, KU Leuven-University of Leuven, Leuven, Belgium. ben.vancalster@med.kuleuven.be&lt;/auth-address&gt;&lt;titles&gt;&lt;title&gt;Evaluation of markers and risk prediction models: overview of relationships between NRI and decision-analytic measures&lt;/title&gt;&lt;secondary-title&gt;Med Decis Making&lt;/secondary-title&gt;&lt;/titles&gt;&lt;periodical&gt;&lt;full-title&gt;Med Decis Making&lt;/full-title&gt;&lt;/periodical&gt;&lt;pages&gt;490-501&lt;/pages&gt;&lt;volume&gt;33&lt;/volume&gt;&lt;number&gt;4&lt;/number&gt;&lt;edition&gt;2013/01/15&lt;/edition&gt;&lt;keywords&gt;&lt;keyword&gt;Calibration&lt;/keyword&gt;&lt;keyword&gt;*Decision Support Techniques&lt;/keyword&gt;&lt;keyword&gt;Female&lt;/keyword&gt;&lt;keyword&gt;Humans&lt;/keyword&gt;&lt;keyword&gt;*Models, Theoretical&lt;/keyword&gt;&lt;keyword&gt;Ovarian Neoplasms/diagnosis&lt;/keyword&gt;&lt;keyword&gt;ROC Curve&lt;/keyword&gt;&lt;keyword&gt;Risk&lt;/keyword&gt;&lt;keyword&gt;Tumor Markers, Biological/blood&lt;/keyword&gt;&lt;/keywords&gt;&lt;dates&gt;&lt;year&gt;2013&lt;/year&gt;&lt;pub-dates&gt;&lt;date&gt;May&lt;/date&gt;&lt;/pub-dates&gt;&lt;/dates&gt;&lt;isbn&gt;1552-681X (Electronic)&amp;#xD;0272-989X (Linking)&lt;/isbn&gt;&lt;accession-num&gt;23313931&lt;/accession-num&gt;&lt;urls&gt;&lt;related-urls&gt;&lt;url&gt;http://www.ncbi.nlm.nih.gov/pubmed/23313931&lt;/url&gt;&lt;/related-urls&gt;&lt;/urls&gt;&lt;electronic-resource-num&gt;0272989X12470757 [pii]&amp;#xD;10.1177/0272989X12470757&lt;/electronic-resource-num&gt;&lt;language&gt;eng&lt;/language&gt;&lt;/record&gt;&lt;/Cite&gt;&lt;/EndNote&gt;</w:instrText>
      </w:r>
      <w:r w:rsidR="004B61B4">
        <w:rPr>
          <w:lang w:val="en-US"/>
        </w:rPr>
        <w:fldChar w:fldCharType="separate"/>
      </w:r>
      <w:r w:rsidR="004B61B4">
        <w:rPr>
          <w:noProof/>
          <w:lang w:val="en-US"/>
        </w:rPr>
        <w:t>(</w:t>
      </w:r>
      <w:hyperlink w:anchor="_ENREF_40" w:tooltip="Van Calster, 2013 #877" w:history="1">
        <w:r w:rsidR="00BF347F">
          <w:rPr>
            <w:noProof/>
            <w:lang w:val="en-US"/>
          </w:rPr>
          <w:t>Van Calster et al., 2013</w:t>
        </w:r>
      </w:hyperlink>
      <w:r w:rsidR="004B61B4">
        <w:rPr>
          <w:noProof/>
          <w:lang w:val="en-US"/>
        </w:rPr>
        <w:t>)</w:t>
      </w:r>
      <w:r w:rsidR="004B61B4">
        <w:rPr>
          <w:lang w:val="en-US"/>
        </w:rPr>
        <w:fldChar w:fldCharType="end"/>
      </w:r>
      <w:r w:rsidR="00C36504">
        <w:rPr>
          <w:lang w:val="en-US"/>
        </w:rPr>
        <w:t>. They</w:t>
      </w:r>
      <w:r>
        <w:rPr>
          <w:lang w:val="en-US"/>
        </w:rPr>
        <w:t xml:space="preserve"> </w:t>
      </w:r>
      <w:r w:rsidR="00C36504">
        <w:rPr>
          <w:lang w:val="en-US"/>
        </w:rPr>
        <w:t>are</w:t>
      </w:r>
      <w:r>
        <w:rPr>
          <w:lang w:val="en-US"/>
        </w:rPr>
        <w:t xml:space="preserve"> directly translate to patient-centered outcomes, but are </w:t>
      </w:r>
      <w:r w:rsidR="004844B5">
        <w:rPr>
          <w:lang w:val="en-US"/>
        </w:rPr>
        <w:t xml:space="preserve">more </w:t>
      </w:r>
      <w:r>
        <w:rPr>
          <w:lang w:val="en-US"/>
        </w:rPr>
        <w:t xml:space="preserve">difficult to communicate to a clinical audience </w:t>
      </w:r>
      <w:r w:rsidR="004B61B4">
        <w:rPr>
          <w:lang w:val="en-US"/>
        </w:rPr>
        <w:fldChar w:fldCharType="begin"/>
      </w:r>
      <w:r w:rsidR="004B61B4">
        <w:rPr>
          <w:lang w:val="en-US"/>
        </w:rPr>
        <w:instrText xml:space="preserve"> ADDIN EN.CITE &lt;EndNote&gt;&lt;Cite&gt;&lt;Author&gt;Localio&lt;/Author&gt;&lt;Year&gt;2012&lt;/Year&gt;&lt;RecNum&gt;879&lt;/RecNum&gt;&lt;DisplayText&gt;(Localio &amp;amp; Goodman, 2012)&lt;/DisplayText&gt;&lt;record&gt;&lt;rec-number&gt;879&lt;/rec-number&gt;&lt;foreign-keys&gt;&lt;key app="EN" db-id="s5at2da0rxdws8ew29spaefwt99szxvvfawz"&gt;879&lt;/key&gt;&lt;/foreign-keys&gt;&lt;ref-type name="Journal Article"&gt;17&lt;/ref-type&gt;&lt;contributors&gt;&lt;authors&gt;&lt;author&gt;Localio, A. R.&lt;/author&gt;&lt;author&gt;Goodman, S.&lt;/author&gt;&lt;/authors&gt;&lt;/contributors&gt;&lt;titles&gt;&lt;title&gt;Beyond the usual prediction accuracy metrics: reporting results for clinical decision making&lt;/title&gt;&lt;secondary-title&gt;Ann Intern Med&lt;/secondary-title&gt;&lt;/titles&gt;&lt;periodical&gt;&lt;full-title&gt;Ann Intern Med&lt;/full-title&gt;&lt;/periodical&gt;&lt;pages&gt;294-5&lt;/pages&gt;&lt;volume&gt;157&lt;/volume&gt;&lt;number&gt;4&lt;/number&gt;&lt;edition&gt;2012/08/23&lt;/edition&gt;&lt;keywords&gt;&lt;keyword&gt;*Early Detection of Cancer&lt;/keyword&gt;&lt;keyword&gt;Female&lt;/keyword&gt;&lt;keyword&gt;Humans&lt;/keyword&gt;&lt;keyword&gt;Lung Neoplasms/*radiography&lt;/keyword&gt;&lt;keyword&gt;Male&lt;/keyword&gt;&lt;keyword&gt;*Models, Statistical&lt;/keyword&gt;&lt;keyword&gt;*Tomography, X-Ray Computed&lt;/keyword&gt;&lt;/keywords&gt;&lt;dates&gt;&lt;year&gt;2012&lt;/year&gt;&lt;pub-dates&gt;&lt;date&gt;Aug 21&lt;/date&gt;&lt;/pub-dates&gt;&lt;/dates&gt;&lt;isbn&gt;1539-3704 (Electronic)&amp;#xD;0003-4819 (Linking)&lt;/isbn&gt;&lt;accession-num&gt;22910942&lt;/accession-num&gt;&lt;urls&gt;&lt;related-urls&gt;&lt;url&gt;http://www.ncbi.nlm.nih.gov/pubmed/22910942&lt;/url&gt;&lt;/related-urls&gt;&lt;/urls&gt;&lt;electronic-resource-num&gt;1351366 [pii]&amp;#xD;10.7326/0003-4819-157-4-201208210-00014&lt;/electronic-resource-num&gt;&lt;language&gt;eng&lt;/language&gt;&lt;/record&gt;&lt;/Cite&gt;&lt;/EndNote&gt;</w:instrText>
      </w:r>
      <w:r w:rsidR="004B61B4">
        <w:rPr>
          <w:lang w:val="en-US"/>
        </w:rPr>
        <w:fldChar w:fldCharType="separate"/>
      </w:r>
      <w:r w:rsidR="004B61B4">
        <w:rPr>
          <w:noProof/>
          <w:lang w:val="en-US"/>
        </w:rPr>
        <w:t>(</w:t>
      </w:r>
      <w:hyperlink w:anchor="_ENREF_18" w:tooltip="Localio, 2012 #879" w:history="1">
        <w:r w:rsidR="00BF347F">
          <w:rPr>
            <w:noProof/>
            <w:lang w:val="en-US"/>
          </w:rPr>
          <w:t>Localio &amp; Goodman, 2012</w:t>
        </w:r>
      </w:hyperlink>
      <w:r w:rsidR="004B61B4">
        <w:rPr>
          <w:noProof/>
          <w:lang w:val="en-US"/>
        </w:rPr>
        <w:t>)</w:t>
      </w:r>
      <w:r w:rsidR="004B61B4">
        <w:rPr>
          <w:lang w:val="en-US"/>
        </w:rPr>
        <w:fldChar w:fldCharType="end"/>
      </w:r>
      <w:r w:rsidR="00461428" w:rsidRPr="00461428">
        <w:rPr>
          <w:lang w:val="en-US"/>
        </w:rPr>
        <w:t xml:space="preserve"> </w:t>
      </w:r>
      <w:r w:rsidR="00461428">
        <w:rPr>
          <w:lang w:val="en-US"/>
        </w:rPr>
        <w:t xml:space="preserve"> </w:t>
      </w:r>
      <w:r w:rsidR="004B61B4">
        <w:rPr>
          <w:lang w:val="en-US"/>
        </w:rPr>
        <w:fldChar w:fldCharType="begin"/>
      </w:r>
      <w:r w:rsidR="004B61B4">
        <w:rPr>
          <w:lang w:val="en-US"/>
        </w:rPr>
        <w:instrText xml:space="preserve"> ADDIN EN.CITE &lt;EndNote&gt;&lt;Cite&gt;&lt;Author&gt;Leening&lt;/Author&gt;&lt;Year&gt;2013&lt;/Year&gt;&lt;RecNum&gt;16&lt;/RecNum&gt;&lt;DisplayText&gt;(Leening &amp;amp; Steyerberg, 2013)&lt;/DisplayText&gt;&lt;record&gt;&lt;rec-number&gt;16&lt;/rec-number&gt;&lt;foreign-keys&gt;&lt;key app="EN" db-id="rtv2prz2p0ttw3ezv01x0raovvzvd0wfxprr"&gt;16&lt;/key&gt;&lt;/foreign-keys&gt;&lt;ref-type name="Journal Article"&gt;17&lt;/ref-type&gt;&lt;contributors&gt;&lt;authors&gt;&lt;author&gt;Leening, M. J.&lt;/author&gt;&lt;author&gt;Steyerberg, E. W.&lt;/author&gt;&lt;/authors&gt;&lt;/contributors&gt;&lt;titles&gt;&lt;title&gt;Fibrosis and mortality in patients with dilated cardiomyopathy&lt;/title&gt;&lt;secondary-title&gt;JAMA&lt;/secondary-title&gt;&lt;/titles&gt;&lt;periodical&gt;&lt;full-title&gt;JAMA&lt;/full-title&gt;&lt;/periodical&gt;&lt;pages&gt;2547-8&lt;/pages&gt;&lt;volume&gt;309&lt;/volume&gt;&lt;number&gt;24&lt;/number&gt;&lt;edition&gt;2013/06/27&lt;/edition&gt;&lt;keywords&gt;&lt;keyword&gt;Cardiomyopathy, Dilated/*mortality/*pathology&lt;/keyword&gt;&lt;keyword&gt;Death, Sudden, Cardiac/*epidemiology&lt;/keyword&gt;&lt;keyword&gt;Female&lt;/keyword&gt;&lt;keyword&gt;Humans&lt;/keyword&gt;&lt;keyword&gt;Male&lt;/keyword&gt;&lt;keyword&gt;Myocardium/*pathology&lt;/keyword&gt;&lt;keyword&gt;*Ventricular Function, Left&lt;/keyword&gt;&lt;/keywords&gt;&lt;dates&gt;&lt;year&gt;2013&lt;/year&gt;&lt;pub-dates&gt;&lt;date&gt;Jun 26&lt;/date&gt;&lt;/pub-dates&gt;&lt;/dates&gt;&lt;isbn&gt;1538-3598 (Electronic)&amp;#xD;0098-7484 (Linking)&lt;/isbn&gt;&lt;accession-num&gt;23800926&lt;/accession-num&gt;&lt;urls&gt;&lt;related-urls&gt;&lt;url&gt;http://www.ncbi.nlm.nih.gov/pubmed/23800926&lt;/url&gt;&lt;/related-urls&gt;&lt;/urls&gt;&lt;electronic-resource-num&gt;1700485 [pii]&amp;#xD;10.1001/jama.2013.6470&lt;/electronic-resource-num&gt;&lt;language&gt;eng&lt;/language&gt;&lt;/record&gt;&lt;/Cite&gt;&lt;/EndNote&gt;</w:instrText>
      </w:r>
      <w:r w:rsidR="004B61B4">
        <w:rPr>
          <w:lang w:val="en-US"/>
        </w:rPr>
        <w:fldChar w:fldCharType="separate"/>
      </w:r>
      <w:r w:rsidR="004B61B4">
        <w:rPr>
          <w:noProof/>
          <w:lang w:val="en-US"/>
        </w:rPr>
        <w:t>(</w:t>
      </w:r>
      <w:hyperlink w:anchor="_ENREF_15" w:tooltip="Leening, 2013 #16" w:history="1">
        <w:r w:rsidR="00BF347F">
          <w:rPr>
            <w:noProof/>
            <w:lang w:val="en-US"/>
          </w:rPr>
          <w:t>Leening &amp; Steyerberg, 2013</w:t>
        </w:r>
      </w:hyperlink>
      <w:r w:rsidR="004B61B4">
        <w:rPr>
          <w:noProof/>
          <w:lang w:val="en-US"/>
        </w:rPr>
        <w:t>)</w:t>
      </w:r>
      <w:r w:rsidR="004B61B4">
        <w:rPr>
          <w:lang w:val="en-US"/>
        </w:rPr>
        <w:fldChar w:fldCharType="end"/>
      </w:r>
      <w:r w:rsidR="00791556">
        <w:rPr>
          <w:lang w:val="en-US"/>
        </w:rPr>
        <w:t>.</w:t>
      </w:r>
      <w:r w:rsidR="00461428" w:rsidRPr="00461428">
        <w:rPr>
          <w:lang w:val="en-US"/>
        </w:rPr>
        <w:t xml:space="preserve"> </w:t>
      </w:r>
      <w:r>
        <w:rPr>
          <w:lang w:val="en-US"/>
        </w:rPr>
        <w:t xml:space="preserve">Graphical displays may be of assistance in assessing usefulness of a marker for predictive purposes, since graphs allow for direct pattern recognition in addition to a table look-up function </w:t>
      </w:r>
      <w:r w:rsidR="004B61B4">
        <w:rPr>
          <w:lang w:val="en-US"/>
        </w:rPr>
        <w:fldChar w:fldCharType="begin"/>
      </w:r>
      <w:r w:rsidR="004B61B4">
        <w:rPr>
          <w:lang w:val="en-US"/>
        </w:rPr>
        <w:instrText xml:space="preserve"> ADDIN EN.CITE &lt;EndNote&gt;&lt;Cite&gt;&lt;Author&gt;Cleveland&lt;/Author&gt;&lt;Year&gt;1985&lt;/Year&gt;&lt;RecNum&gt;267&lt;/RecNum&gt;&lt;DisplayText&gt;(Cleveland, 1985)&lt;/DisplayText&gt;&lt;record&gt;&lt;rec-number&gt;267&lt;/rec-number&gt;&lt;foreign-keys&gt;&lt;key app="EN" db-id="s5at2da0rxdws8ew29spaefwt99szxvvfawz"&gt;267&lt;/key&gt;&lt;/foreign-keys&gt;&lt;ref-type name="Book"&gt;6&lt;/ref-type&gt;&lt;contributors&gt;&lt;authors&gt;&lt;author&gt;Cleveland, William S.&lt;/author&gt;&lt;/authors&gt;&lt;/contributors&gt;&lt;titles&gt;&lt;title&gt;The elements of graphing data&lt;/title&gt;&lt;/titles&gt;&lt;pages&gt;323&lt;/pages&gt;&lt;keywords&gt;&lt;keyword&gt;Graphic methods.&lt;/keyword&gt;&lt;keyword&gt;Data Display&lt;/keyword&gt;&lt;/keywords&gt;&lt;dates&gt;&lt;year&gt;1985&lt;/year&gt;&lt;/dates&gt;&lt;pub-location&gt;Monterey&lt;/pub-location&gt;&lt;publisher&gt;Wadsworth Advanced Books and Software&lt;/publisher&gt;&lt;isbn&gt;0534037305 :&lt;/isbn&gt;&lt;call-num&gt;511/.5&lt;/call-num&gt;&lt;urls&gt;&lt;/urls&gt;&lt;/record&gt;&lt;/Cite&gt;&lt;/EndNote&gt;</w:instrText>
      </w:r>
      <w:r w:rsidR="004B61B4">
        <w:rPr>
          <w:lang w:val="en-US"/>
        </w:rPr>
        <w:fldChar w:fldCharType="separate"/>
      </w:r>
      <w:r w:rsidR="004B61B4">
        <w:rPr>
          <w:noProof/>
          <w:lang w:val="en-US"/>
        </w:rPr>
        <w:t>(</w:t>
      </w:r>
      <w:hyperlink w:anchor="_ENREF_6" w:tooltip="Cleveland, 1985 #267" w:history="1">
        <w:r w:rsidR="00BF347F">
          <w:rPr>
            <w:noProof/>
            <w:lang w:val="en-US"/>
          </w:rPr>
          <w:t>Cleveland, 1985</w:t>
        </w:r>
      </w:hyperlink>
      <w:r w:rsidR="004B61B4">
        <w:rPr>
          <w:noProof/>
          <w:lang w:val="en-US"/>
        </w:rPr>
        <w:t>)</w:t>
      </w:r>
      <w:r w:rsidR="004B61B4">
        <w:rPr>
          <w:lang w:val="en-US"/>
        </w:rPr>
        <w:fldChar w:fldCharType="end"/>
      </w:r>
      <w:r w:rsidR="00791556">
        <w:rPr>
          <w:lang w:val="en-US"/>
        </w:rPr>
        <w:t>.</w:t>
      </w:r>
      <w:r>
        <w:rPr>
          <w:lang w:val="en-US"/>
        </w:rPr>
        <w:t xml:space="preserve"> We illustrate various graphical possibilities and summary measures using previously published data from the Framingham Heart Study, where we focus on adding high-density lipoprotein (HDL)</w:t>
      </w:r>
      <w:r w:rsidRPr="00295F9F">
        <w:rPr>
          <w:lang w:val="en-US"/>
        </w:rPr>
        <w:t xml:space="preserve"> </w:t>
      </w:r>
      <w:r>
        <w:rPr>
          <w:lang w:val="en-US"/>
        </w:rPr>
        <w:t xml:space="preserve">cholesterol as a marker to improve predictions of </w:t>
      </w:r>
      <w:r>
        <w:rPr>
          <w:lang w:val="en-US"/>
        </w:rPr>
        <w:lastRenderedPageBreak/>
        <w:t xml:space="preserve">10-year risk of coronary heart disease (CHD). </w:t>
      </w:r>
      <w:r w:rsidR="007223BD">
        <w:rPr>
          <w:lang w:val="en-US"/>
        </w:rPr>
        <w:t xml:space="preserve">After describing the data and </w:t>
      </w:r>
      <w:r w:rsidR="00C36504">
        <w:rPr>
          <w:lang w:val="en-US"/>
        </w:rPr>
        <w:t xml:space="preserve">the statistical </w:t>
      </w:r>
      <w:r w:rsidR="007223BD">
        <w:rPr>
          <w:lang w:val="en-US"/>
        </w:rPr>
        <w:t>analysis, w</w:t>
      </w:r>
      <w:r>
        <w:rPr>
          <w:lang w:val="en-US"/>
        </w:rPr>
        <w:t xml:space="preserve">e consider </w:t>
      </w:r>
      <w:r w:rsidR="007223BD">
        <w:rPr>
          <w:lang w:val="en-US"/>
        </w:rPr>
        <w:t xml:space="preserve">performance measures related to </w:t>
      </w:r>
      <w:r>
        <w:rPr>
          <w:lang w:val="en-US"/>
        </w:rPr>
        <w:t xml:space="preserve">continuous predictions and </w:t>
      </w:r>
      <w:r w:rsidR="007223BD">
        <w:rPr>
          <w:lang w:val="en-US"/>
        </w:rPr>
        <w:t xml:space="preserve">to </w:t>
      </w:r>
      <w:r>
        <w:rPr>
          <w:lang w:val="en-US"/>
        </w:rPr>
        <w:t>dichotomizations to provide a classification as low versus high r</w:t>
      </w:r>
      <w:r w:rsidR="007223BD">
        <w:rPr>
          <w:lang w:val="en-US"/>
        </w:rPr>
        <w:t>isk</w:t>
      </w:r>
      <w:r w:rsidR="00C36504">
        <w:rPr>
          <w:lang w:val="en-US"/>
        </w:rPr>
        <w:t>.</w:t>
      </w:r>
    </w:p>
    <w:p w:rsidR="00B85B9F" w:rsidRPr="00A250CB" w:rsidRDefault="00B85B9F" w:rsidP="00C36504">
      <w:pPr>
        <w:spacing w:line="360" w:lineRule="auto"/>
        <w:rPr>
          <w:lang w:val="en-US"/>
        </w:rPr>
      </w:pPr>
    </w:p>
    <w:p w:rsidR="00B85B9F" w:rsidRPr="00A250CB" w:rsidRDefault="00B85B9F" w:rsidP="00C36504">
      <w:pPr>
        <w:spacing w:line="360" w:lineRule="auto"/>
        <w:rPr>
          <w:b/>
          <w:lang w:val="en-US"/>
        </w:rPr>
      </w:pPr>
      <w:r w:rsidRPr="00A250CB">
        <w:rPr>
          <w:b/>
          <w:lang w:val="en-US"/>
        </w:rPr>
        <w:t>Data</w:t>
      </w:r>
    </w:p>
    <w:p w:rsidR="00B85B9F" w:rsidRPr="00A250CB" w:rsidRDefault="00B85B9F" w:rsidP="00C36504">
      <w:pPr>
        <w:spacing w:line="360" w:lineRule="auto"/>
        <w:rPr>
          <w:lang w:val="en-US"/>
        </w:rPr>
      </w:pPr>
      <w:r>
        <w:rPr>
          <w:lang w:val="en-US"/>
        </w:rPr>
        <w:t xml:space="preserve">We provide an illustration with data published previously </w:t>
      </w:r>
      <w:r w:rsidR="004B61B4">
        <w:rPr>
          <w:lang w:val="en-US"/>
        </w:rPr>
        <w:fldChar w:fldCharType="begin"/>
      </w:r>
      <w:r w:rsidR="004B61B4">
        <w:rPr>
          <w:lang w:val="en-US"/>
        </w:rPr>
        <w:instrText xml:space="preserve"> ADDIN EN.CITE &lt;EndNote&gt;&lt;Cite&gt;&lt;Author&gt;Pencina&lt;/Author&gt;&lt;Year&gt;2008&lt;/Year&gt;&lt;RecNum&gt;573&lt;/RecNum&gt;&lt;DisplayText&gt;(Pencina et al., 2008)&lt;/DisplayText&gt;&lt;record&gt;&lt;rec-number&gt;573&lt;/rec-number&gt;&lt;foreign-keys&gt;&lt;key app="EN" db-id="s5at2da0rxdws8ew29spaefwt99szxvvfawz"&gt;573&lt;/key&gt;&lt;/foreign-keys&gt;&lt;ref-type name="Journal Article"&gt;17&lt;/ref-type&gt;&lt;contributors&gt;&lt;authors&gt;&lt;author&gt;Pencina, M. J.&lt;/author&gt;&lt;author&gt;D&amp;apos;Agostino, R. B., Sr.&lt;/author&gt;&lt;author&gt;D&amp;apos;Agostino, R. B., Jr.&lt;/author&gt;&lt;author&gt;Vasan, R. S.&lt;/author&gt;&lt;/authors&gt;&lt;/contributors&gt;&lt;auth-address&gt;Department of Mathematics and Statistics, Framingham Heart Study, Boston University, Boston, MA 02215, USA. mpencina@bu.edu&lt;/auth-address&gt;&lt;titles&gt;&lt;title&gt;Evaluating the added predictive ability of a new marker: from area under the ROC curve to reclassification and beyond&lt;/title&gt;&lt;secondary-title&gt;Stat Med&lt;/secondary-title&gt;&lt;alt-title&gt;Statistics in medicine&lt;/alt-title&gt;&lt;/titles&gt;&lt;periodical&gt;&lt;full-title&gt;Stat Med&lt;/full-title&gt;&lt;/periodical&gt;&lt;pages&gt;157-72; discussion 207-12&lt;/pages&gt;&lt;volume&gt;27&lt;/volume&gt;&lt;number&gt;2&lt;/number&gt;&lt;dates&gt;&lt;year&gt;2008&lt;/year&gt;&lt;pub-dates&gt;&lt;date&gt;Jan 30&lt;/date&gt;&lt;/pub-dates&gt;&lt;/dates&gt;&lt;isbn&gt;0277-6715 (Print)&lt;/isbn&gt;&lt;accession-num&gt;17569110&lt;/accession-num&gt;&lt;urls&gt;&lt;related-urls&gt;&lt;url&gt;http://www.ncbi.nlm.nih.gov/entrez/query.fcgi?cmd=Retrieve&amp;amp;db=PubMed&amp;amp;dopt=Citation&amp;amp;list_uids=17569110 &lt;/url&gt;&lt;/related-urls&gt;&lt;/urls&gt;&lt;language&gt;eng&lt;/language&gt;&lt;/record&gt;&lt;/Cite&gt;&lt;/EndNote&gt;</w:instrText>
      </w:r>
      <w:r w:rsidR="004B61B4">
        <w:rPr>
          <w:lang w:val="en-US"/>
        </w:rPr>
        <w:fldChar w:fldCharType="separate"/>
      </w:r>
      <w:r w:rsidR="004B61B4">
        <w:rPr>
          <w:noProof/>
          <w:lang w:val="en-US"/>
        </w:rPr>
        <w:t>(</w:t>
      </w:r>
      <w:hyperlink w:anchor="_ENREF_24" w:tooltip="Pencina, 2008 #573" w:history="1">
        <w:r w:rsidR="00BF347F">
          <w:rPr>
            <w:noProof/>
            <w:lang w:val="en-US"/>
          </w:rPr>
          <w:t>Pencina et al., 2008</w:t>
        </w:r>
      </w:hyperlink>
      <w:r w:rsidR="004B61B4">
        <w:rPr>
          <w:noProof/>
          <w:lang w:val="en-US"/>
        </w:rPr>
        <w:t>)</w:t>
      </w:r>
      <w:r w:rsidR="004B61B4">
        <w:rPr>
          <w:lang w:val="en-US"/>
        </w:rPr>
        <w:fldChar w:fldCharType="end"/>
      </w:r>
      <w:r>
        <w:rPr>
          <w:lang w:val="en-US"/>
        </w:rPr>
        <w:t>, relating to</w:t>
      </w:r>
      <w:r w:rsidRPr="00A250CB">
        <w:rPr>
          <w:lang w:val="en-US"/>
        </w:rPr>
        <w:t xml:space="preserve"> 3264 participants from the Framingham Heart Study aged 30–74</w:t>
      </w:r>
      <w:r>
        <w:rPr>
          <w:lang w:val="en-US"/>
        </w:rPr>
        <w:t>.</w:t>
      </w:r>
      <w:r w:rsidRPr="00A250CB">
        <w:rPr>
          <w:lang w:val="en-US"/>
        </w:rPr>
        <w:t xml:space="preserve"> Participants with prevalent </w:t>
      </w:r>
      <w:r>
        <w:rPr>
          <w:lang w:val="en-US"/>
        </w:rPr>
        <w:t>cardiovascular disease</w:t>
      </w:r>
      <w:r w:rsidRPr="00A250CB">
        <w:rPr>
          <w:lang w:val="en-US"/>
        </w:rPr>
        <w:t xml:space="preserve"> and missing standard risk factors were excluded</w:t>
      </w:r>
      <w:r w:rsidR="00513156">
        <w:rPr>
          <w:lang w:val="en-US"/>
        </w:rPr>
        <w:t xml:space="preserve"> </w:t>
      </w:r>
      <w:r w:rsidR="004B61B4">
        <w:rPr>
          <w:lang w:val="en-US"/>
        </w:rPr>
        <w:fldChar w:fldCharType="begin"/>
      </w:r>
      <w:r w:rsidR="004B61B4">
        <w:rPr>
          <w:lang w:val="en-US"/>
        </w:rPr>
        <w:instrText xml:space="preserve"> ADDIN EN.CITE &lt;EndNote&gt;&lt;Cite&gt;&lt;Author&gt;Pencina&lt;/Author&gt;&lt;Year&gt;2008&lt;/Year&gt;&lt;RecNum&gt;573&lt;/RecNum&gt;&lt;DisplayText&gt;(Pencina et al., 2008)&lt;/DisplayText&gt;&lt;record&gt;&lt;rec-number&gt;573&lt;/rec-number&gt;&lt;foreign-keys&gt;&lt;key app="EN" db-id="s5at2da0rxdws8ew29spaefwt99szxvvfawz"&gt;573&lt;/key&gt;&lt;/foreign-keys&gt;&lt;ref-type name="Journal Article"&gt;17&lt;/ref-type&gt;&lt;contributors&gt;&lt;authors&gt;&lt;author&gt;Pencina, M. J.&lt;/author&gt;&lt;author&gt;D&amp;apos;Agostino, R. B., Sr.&lt;/author&gt;&lt;author&gt;D&amp;apos;Agostino, R. B., Jr.&lt;/author&gt;&lt;author&gt;Vasan, R. S.&lt;/author&gt;&lt;/authors&gt;&lt;/contributors&gt;&lt;auth-address&gt;Department of Mathematics and Statistics, Framingham Heart Study, Boston University, Boston, MA 02215, USA. mpencina@bu.edu&lt;/auth-address&gt;&lt;titles&gt;&lt;title&gt;Evaluating the added predictive ability of a new marker: from area under the ROC curve to reclassification and beyond&lt;/title&gt;&lt;secondary-title&gt;Stat Med&lt;/secondary-title&gt;&lt;alt-title&gt;Statistics in medicine&lt;/alt-title&gt;&lt;/titles&gt;&lt;periodical&gt;&lt;full-title&gt;Stat Med&lt;/full-title&gt;&lt;/periodical&gt;&lt;pages&gt;157-72; discussion 207-12&lt;/pages&gt;&lt;volume&gt;27&lt;/volume&gt;&lt;number&gt;2&lt;/number&gt;&lt;dates&gt;&lt;year&gt;2008&lt;/year&gt;&lt;pub-dates&gt;&lt;date&gt;Jan 30&lt;/date&gt;&lt;/pub-dates&gt;&lt;/dates&gt;&lt;isbn&gt;0277-6715 (Print)&lt;/isbn&gt;&lt;accession-num&gt;17569110&lt;/accession-num&gt;&lt;urls&gt;&lt;related-urls&gt;&lt;url&gt;http://www.ncbi.nlm.nih.gov/entrez/query.fcgi?cmd=Retrieve&amp;amp;db=PubMed&amp;amp;dopt=Citation&amp;amp;list_uids=17569110 &lt;/url&gt;&lt;/related-urls&gt;&lt;/urls&gt;&lt;language&gt;eng&lt;/language&gt;&lt;/record&gt;&lt;/Cite&gt;&lt;/EndNote&gt;</w:instrText>
      </w:r>
      <w:r w:rsidR="004B61B4">
        <w:rPr>
          <w:lang w:val="en-US"/>
        </w:rPr>
        <w:fldChar w:fldCharType="separate"/>
      </w:r>
      <w:r w:rsidR="004B61B4">
        <w:rPr>
          <w:noProof/>
          <w:lang w:val="en-US"/>
        </w:rPr>
        <w:t>(</w:t>
      </w:r>
      <w:hyperlink w:anchor="_ENREF_24" w:tooltip="Pencina, 2008 #573" w:history="1">
        <w:r w:rsidR="00BF347F">
          <w:rPr>
            <w:noProof/>
            <w:lang w:val="en-US"/>
          </w:rPr>
          <w:t>Pencina et al., 2008</w:t>
        </w:r>
      </w:hyperlink>
      <w:r w:rsidR="004B61B4">
        <w:rPr>
          <w:noProof/>
          <w:lang w:val="en-US"/>
        </w:rPr>
        <w:t>)</w:t>
      </w:r>
      <w:r w:rsidR="004B61B4">
        <w:rPr>
          <w:lang w:val="en-US"/>
        </w:rPr>
        <w:fldChar w:fldCharType="end"/>
      </w:r>
      <w:r w:rsidR="007223BD">
        <w:rPr>
          <w:lang w:val="en-US"/>
        </w:rPr>
        <w:t>.</w:t>
      </w:r>
      <w:r w:rsidRPr="00A250CB">
        <w:rPr>
          <w:lang w:val="en-US"/>
        </w:rPr>
        <w:t xml:space="preserve"> Participants were followed for 10 years for the development of </w:t>
      </w:r>
      <w:r>
        <w:rPr>
          <w:lang w:val="en-US"/>
        </w:rPr>
        <w:t xml:space="preserve">a first </w:t>
      </w:r>
      <w:r w:rsidRPr="00A250CB">
        <w:rPr>
          <w:lang w:val="en-US"/>
        </w:rPr>
        <w:t>CHD</w:t>
      </w:r>
      <w:r>
        <w:rPr>
          <w:lang w:val="en-US"/>
        </w:rPr>
        <w:t xml:space="preserve"> event</w:t>
      </w:r>
      <w:r w:rsidRPr="00A250CB">
        <w:rPr>
          <w:lang w:val="en-US"/>
        </w:rPr>
        <w:t xml:space="preserve"> </w:t>
      </w:r>
      <w:r>
        <w:rPr>
          <w:lang w:val="en-US"/>
        </w:rPr>
        <w:t>(</w:t>
      </w:r>
      <w:r w:rsidRPr="00A250CB">
        <w:rPr>
          <w:lang w:val="en-US"/>
        </w:rPr>
        <w:t>including myocardial infarction, angina pectoris, coronary insufﬁciency</w:t>
      </w:r>
      <w:r>
        <w:rPr>
          <w:lang w:val="en-US"/>
        </w:rPr>
        <w:t>,</w:t>
      </w:r>
      <w:r w:rsidRPr="00A250CB">
        <w:rPr>
          <w:lang w:val="en-US"/>
        </w:rPr>
        <w:t xml:space="preserve"> or CHD death</w:t>
      </w:r>
      <w:r>
        <w:rPr>
          <w:lang w:val="en-US"/>
        </w:rPr>
        <w:t>)</w:t>
      </w:r>
      <w:r w:rsidRPr="00A250CB">
        <w:rPr>
          <w:lang w:val="en-US"/>
        </w:rPr>
        <w:t xml:space="preserve">. A total of 183 </w:t>
      </w:r>
      <w:r>
        <w:rPr>
          <w:lang w:val="en-US"/>
        </w:rPr>
        <w:t>individuals</w:t>
      </w:r>
      <w:r w:rsidRPr="00A250CB">
        <w:rPr>
          <w:lang w:val="en-US"/>
        </w:rPr>
        <w:t xml:space="preserve"> developed CHD (5.6% 10-year </w:t>
      </w:r>
      <w:r>
        <w:rPr>
          <w:lang w:val="en-US"/>
        </w:rPr>
        <w:t>cumulative incidence</w:t>
      </w:r>
      <w:r w:rsidRPr="00A250CB">
        <w:rPr>
          <w:lang w:val="en-US"/>
        </w:rPr>
        <w:t xml:space="preserve">). </w:t>
      </w:r>
    </w:p>
    <w:p w:rsidR="00B85B9F" w:rsidRPr="00A250CB" w:rsidRDefault="00B85B9F" w:rsidP="00351E97">
      <w:pPr>
        <w:spacing w:line="360" w:lineRule="auto"/>
        <w:rPr>
          <w:lang w:val="en-US"/>
        </w:rPr>
      </w:pPr>
    </w:p>
    <w:p w:rsidR="00B85B9F" w:rsidRPr="00A250CB" w:rsidRDefault="00B85B9F" w:rsidP="00351E97">
      <w:pPr>
        <w:spacing w:line="360" w:lineRule="auto"/>
        <w:rPr>
          <w:b/>
          <w:lang w:val="en-US"/>
        </w:rPr>
      </w:pPr>
      <w:r w:rsidRPr="00A250CB">
        <w:rPr>
          <w:b/>
          <w:lang w:val="en-US"/>
        </w:rPr>
        <w:t>Analysis</w:t>
      </w:r>
    </w:p>
    <w:p w:rsidR="00B85B9F" w:rsidRPr="00A250CB" w:rsidRDefault="00B85B9F" w:rsidP="001D046F">
      <w:pPr>
        <w:spacing w:line="360" w:lineRule="auto"/>
        <w:rPr>
          <w:lang w:val="en-US"/>
        </w:rPr>
      </w:pPr>
      <w:r w:rsidRPr="00A250CB">
        <w:rPr>
          <w:lang w:val="en-US"/>
        </w:rPr>
        <w:t xml:space="preserve">We focus on the improvement in model performance due to </w:t>
      </w:r>
      <w:r>
        <w:rPr>
          <w:lang w:val="en-US"/>
        </w:rPr>
        <w:t xml:space="preserve">the addition of </w:t>
      </w:r>
      <w:r w:rsidRPr="00A250CB">
        <w:rPr>
          <w:lang w:val="en-US"/>
        </w:rPr>
        <w:t>HDL</w:t>
      </w:r>
      <w:r>
        <w:rPr>
          <w:lang w:val="en-US"/>
        </w:rPr>
        <w:t xml:space="preserve"> cholesterol to a model </w:t>
      </w:r>
      <w:r w:rsidR="007223BD">
        <w:rPr>
          <w:lang w:val="en-US"/>
        </w:rPr>
        <w:t>that</w:t>
      </w:r>
      <w:r>
        <w:rPr>
          <w:lang w:val="en-US"/>
        </w:rPr>
        <w:t xml:space="preserve"> already contains </w:t>
      </w:r>
      <w:r w:rsidRPr="00A250CB">
        <w:rPr>
          <w:lang w:val="en-US"/>
        </w:rPr>
        <w:t xml:space="preserve">sex, diabetes and smoking as dichotomous predictors </w:t>
      </w:r>
      <w:r>
        <w:rPr>
          <w:lang w:val="en-US"/>
        </w:rPr>
        <w:t xml:space="preserve">and </w:t>
      </w:r>
      <w:r w:rsidRPr="00A250CB">
        <w:rPr>
          <w:lang w:val="en-US"/>
        </w:rPr>
        <w:t xml:space="preserve">age, systolic blood pressure, and total cholesterol as continuous predictors. Adding HDL cholesterol as a continuous predictor to </w:t>
      </w:r>
      <w:r>
        <w:rPr>
          <w:lang w:val="en-US"/>
        </w:rPr>
        <w:t>a Cox regression</w:t>
      </w:r>
      <w:r w:rsidRPr="00A250CB">
        <w:rPr>
          <w:lang w:val="en-US"/>
        </w:rPr>
        <w:t xml:space="preserve"> model </w:t>
      </w:r>
      <w:r>
        <w:rPr>
          <w:lang w:val="en-US"/>
        </w:rPr>
        <w:t>was highly signiﬁcant (</w:t>
      </w:r>
      <w:r w:rsidRPr="00A250CB">
        <w:rPr>
          <w:lang w:val="en-US"/>
        </w:rPr>
        <w:t>HR=0.65</w:t>
      </w:r>
      <w:r w:rsidR="0042557D">
        <w:rPr>
          <w:lang w:val="en-US"/>
        </w:rPr>
        <w:t xml:space="preserve"> per SD increase</w:t>
      </w:r>
      <w:r w:rsidRPr="00A250CB">
        <w:rPr>
          <w:lang w:val="en-US"/>
        </w:rPr>
        <w:t xml:space="preserve">, </w:t>
      </w:r>
      <w:r>
        <w:rPr>
          <w:lang w:val="en-US"/>
        </w:rPr>
        <w:t xml:space="preserve">95% confidence interval 0.53 to 0.80, </w:t>
      </w:r>
      <w:r w:rsidRPr="00A250CB">
        <w:rPr>
          <w:lang w:val="en-US"/>
        </w:rPr>
        <w:t>p-value&lt;0.001</w:t>
      </w:r>
      <w:r>
        <w:rPr>
          <w:lang w:val="en-US"/>
        </w:rPr>
        <w:t>)</w:t>
      </w:r>
      <w:r w:rsidRPr="00A250CB">
        <w:rPr>
          <w:lang w:val="en-US"/>
        </w:rPr>
        <w:t>.</w:t>
      </w:r>
      <w:r>
        <w:rPr>
          <w:lang w:val="en-US"/>
        </w:rPr>
        <w:t xml:space="preserve"> </w:t>
      </w:r>
      <w:r w:rsidRPr="00A250CB">
        <w:rPr>
          <w:lang w:val="en-US"/>
        </w:rPr>
        <w:t xml:space="preserve">We </w:t>
      </w:r>
      <w:r w:rsidR="007223BD">
        <w:rPr>
          <w:lang w:val="en-US"/>
        </w:rPr>
        <w:t>compare</w:t>
      </w:r>
      <w:r w:rsidRPr="00A250CB">
        <w:rPr>
          <w:lang w:val="en-US"/>
        </w:rPr>
        <w:t xml:space="preserve"> 2 sets of predicted probabilities of the 10</w:t>
      </w:r>
      <w:r>
        <w:rPr>
          <w:lang w:val="en-US"/>
        </w:rPr>
        <w:t>-</w:t>
      </w:r>
      <w:r w:rsidRPr="00A250CB">
        <w:rPr>
          <w:lang w:val="en-US"/>
        </w:rPr>
        <w:t xml:space="preserve">year CHD risk: one set of predictions based on a model </w:t>
      </w:r>
      <w:r w:rsidRPr="00617326">
        <w:rPr>
          <w:i/>
          <w:lang w:val="en-US"/>
        </w:rPr>
        <w:t>without</w:t>
      </w:r>
      <w:r w:rsidRPr="00A250CB">
        <w:rPr>
          <w:lang w:val="en-US"/>
        </w:rPr>
        <w:t xml:space="preserve"> and one set of predictions based on a model </w:t>
      </w:r>
      <w:r w:rsidRPr="00617326">
        <w:rPr>
          <w:i/>
          <w:lang w:val="en-US"/>
        </w:rPr>
        <w:t>with</w:t>
      </w:r>
      <w:r w:rsidRPr="00A250CB">
        <w:rPr>
          <w:lang w:val="en-US"/>
        </w:rPr>
        <w:t xml:space="preserve"> HDL cholesterol included. We </w:t>
      </w:r>
      <w:r w:rsidRPr="00767D00">
        <w:rPr>
          <w:lang w:val="en-US"/>
        </w:rPr>
        <w:t>consider the full risk distributions as well as categorization by the clinically motivated threshold of 20% 10-year</w:t>
      </w:r>
      <w:r>
        <w:rPr>
          <w:lang w:val="en-US"/>
        </w:rPr>
        <w:t xml:space="preserve"> CHD</w:t>
      </w:r>
      <w:r w:rsidRPr="00767D00">
        <w:rPr>
          <w:lang w:val="en-US"/>
        </w:rPr>
        <w:t xml:space="preserve"> risk</w:t>
      </w:r>
      <w:r w:rsidR="00536F26">
        <w:rPr>
          <w:lang w:val="en-US"/>
        </w:rPr>
        <w:t xml:space="preserve"> </w:t>
      </w:r>
      <w:r w:rsidR="004B61B4">
        <w:rPr>
          <w:lang w:val="en-US"/>
        </w:rPr>
        <w:fldChar w:fldCharType="begin">
          <w:fldData xml:space="preserve">PEVuZE5vdGU+PENpdGU+PEF1dGhvcj5HcmVlbmxhbmQ8L0F1dGhvcj48WWVhcj4yMDEwPC9ZZWFy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</w:fldData>
        </w:fldChar>
      </w:r>
      <w:r w:rsidR="004B61B4">
        <w:rPr>
          <w:lang w:val="en-US"/>
        </w:rPr>
        <w:instrText xml:space="preserve"> ADDIN EN.CITE </w:instrText>
      </w:r>
      <w:r w:rsidR="004B61B4">
        <w:rPr>
          <w:lang w:val="en-US"/>
        </w:rPr>
        <w:fldChar w:fldCharType="begin">
          <w:fldData xml:space="preserve">PEVuZE5vdGU+PENpdGU+PEF1dGhvcj5HcmVlbmxhbmQ8L0F1dGhvcj48WWVhcj4yMDEwPC9ZZWFy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</w:fldData>
        </w:fldChar>
      </w:r>
      <w:r w:rsidR="004B61B4">
        <w:rPr>
          <w:lang w:val="en-US"/>
        </w:rPr>
        <w:instrText xml:space="preserve"> ADDIN EN.CITE.DATA </w:instrText>
      </w:r>
      <w:r w:rsidR="004B61B4">
        <w:rPr>
          <w:lang w:val="en-US"/>
        </w:rPr>
      </w:r>
      <w:r w:rsidR="004B61B4">
        <w:rPr>
          <w:lang w:val="en-US"/>
        </w:rPr>
        <w:fldChar w:fldCharType="end"/>
      </w:r>
      <w:r w:rsidR="004B61B4">
        <w:rPr>
          <w:lang w:val="en-US"/>
        </w:rPr>
      </w:r>
      <w:r w:rsidR="004B61B4">
        <w:rPr>
          <w:lang w:val="en-US"/>
        </w:rPr>
        <w:fldChar w:fldCharType="separate"/>
      </w:r>
      <w:r w:rsidR="004B61B4">
        <w:rPr>
          <w:noProof/>
          <w:lang w:val="en-US"/>
        </w:rPr>
        <w:t>(</w:t>
      </w:r>
      <w:hyperlink w:anchor="_ENREF_10" w:tooltip="Greenland, 2010 #19" w:history="1">
        <w:r w:rsidR="00BF347F">
          <w:rPr>
            <w:noProof/>
            <w:lang w:val="en-US"/>
          </w:rPr>
          <w:t>Greenland et al., 2010</w:t>
        </w:r>
      </w:hyperlink>
      <w:r w:rsidR="004B61B4">
        <w:rPr>
          <w:noProof/>
          <w:lang w:val="en-US"/>
        </w:rPr>
        <w:t>)</w:t>
      </w:r>
      <w:r w:rsidR="004B61B4">
        <w:rPr>
          <w:lang w:val="en-US"/>
        </w:rPr>
        <w:fldChar w:fldCharType="end"/>
      </w:r>
      <w:r w:rsidR="007223BD">
        <w:rPr>
          <w:lang w:val="en-US"/>
        </w:rPr>
        <w:t>.</w:t>
      </w:r>
      <w:r w:rsidRPr="00767D00">
        <w:rPr>
          <w:lang w:val="en-US"/>
        </w:rPr>
        <w:t xml:space="preserve"> </w:t>
      </w:r>
      <w:r>
        <w:rPr>
          <w:lang w:val="en-US"/>
        </w:rPr>
        <w:t>Since we focus on conceptual issues for binary classification, w</w:t>
      </w:r>
      <w:r w:rsidRPr="00767D00">
        <w:rPr>
          <w:lang w:val="en-US"/>
        </w:rPr>
        <w:t xml:space="preserve">e </w:t>
      </w:r>
      <w:r w:rsidR="007223BD">
        <w:rPr>
          <w:lang w:val="en-US"/>
        </w:rPr>
        <w:t xml:space="preserve">simply </w:t>
      </w:r>
      <w:r w:rsidRPr="00A250CB">
        <w:rPr>
          <w:lang w:val="en-US"/>
        </w:rPr>
        <w:t>stratify subjects as those with events versus those without events</w:t>
      </w:r>
      <w:r>
        <w:rPr>
          <w:lang w:val="en-US"/>
        </w:rPr>
        <w:t xml:space="preserve"> after 10-year follow-up</w:t>
      </w:r>
      <w:r w:rsidRPr="00A250CB">
        <w:rPr>
          <w:lang w:val="en-US"/>
        </w:rPr>
        <w:t>.</w:t>
      </w:r>
      <w:r w:rsidR="0042557D">
        <w:rPr>
          <w:lang w:val="en-US"/>
        </w:rPr>
        <w:t xml:space="preserve"> We recognize that</w:t>
      </w:r>
      <w:r w:rsidR="003D4B40">
        <w:rPr>
          <w:lang w:val="en-US"/>
        </w:rPr>
        <w:t xml:space="preserve"> survival data may require more sophisticated approaches to address censoring of incomplete observations, such as the use of Kaplan-Meier or Cox regression analysis to estimate expected events rather than naively use observed events </w:t>
      </w:r>
      <w:r w:rsidR="004B61B4">
        <w:rPr>
          <w:lang w:val="en-US"/>
        </w:rPr>
        <w:fldChar w:fldCharType="begin"/>
      </w:r>
      <w:r w:rsidR="004B61B4">
        <w:rPr>
          <w:lang w:val="en-US"/>
        </w:rPr>
        <w:instrText xml:space="preserve"> ADDIN EN.CITE &lt;EndNote&gt;&lt;Cite&gt;&lt;Author&gt;Steyerberg&lt;/Author&gt;&lt;Year&gt;2010&lt;/Year&gt;&lt;RecNum&gt;672&lt;/RecNum&gt;&lt;DisplayText&gt;(Steyerberg &amp;amp; Pencina, 2010)&lt;/DisplayText&gt;&lt;record&gt;&lt;rec-number&gt;672&lt;/rec-number&gt;&lt;foreign-keys&gt;&lt;key app="EN" db-id="s5at2da0rxdws8ew29spaefwt99szxvvfawz"&gt;672&lt;/key&gt;&lt;/foreign-keys&gt;&lt;ref-type name="Journal Article"&gt;17&lt;/ref-type&gt;&lt;contributors&gt;&lt;authors&gt;&lt;author&gt;Steyerberg, E. W.&lt;/author&gt;&lt;author&gt;Pencina, M. J.&lt;/author&gt;&lt;/authors&gt;&lt;/contributors&gt;&lt;titles&gt;&lt;title&gt;Reclassification calculations for persons with incomplete follow-up&lt;/title&gt;&lt;secondary-title&gt;Ann Intern Med&lt;/secondary-title&gt;&lt;alt-title&gt;Annals of internal medicine&lt;/alt-title&gt;&lt;/titles&gt;&lt;periodical&gt;&lt;full-title&gt;Ann Intern Med&lt;/full-title&gt;&lt;/periodical&gt;&lt;alt-periodical&gt;&lt;full-title&gt;NTvG&lt;/full-title&gt;&lt;abbr-1&gt;Annals of internal medicine&lt;/abbr-1&gt;&lt;/alt-periodical&gt;&lt;pages&gt;195-7&lt;/pages&gt;&lt;volume&gt;152&lt;/volume&gt;&lt;number&gt;3&lt;/number&gt;&lt;dates&gt;&lt;year&gt;2010&lt;/year&gt;&lt;pub-dates&gt;&lt;date&gt;Feb 2&lt;/date&gt;&lt;/pub-dates&gt;&lt;/dates&gt;&lt;isbn&gt;1539-3704 (Electronic)&amp;#xD;0003-4819 (Linking)&lt;/isbn&gt;&lt;accession-num&gt;20124243&lt;/accession-num&gt;&lt;urls&gt;&lt;related-urls&gt;&lt;url&gt;http://www.ncbi.nlm.nih.gov/entrez/query.fcgi?cmd=Retrieve&amp;amp;db=PubMed&amp;amp;dopt=Citation&amp;amp;list_uids=20124243 &lt;/url&gt;&lt;/related-urls&gt;&lt;/urls&gt;&lt;language&gt;eng&lt;/language&gt;&lt;/record&gt;&lt;/Cite&gt;&lt;/EndNote&gt;</w:instrText>
      </w:r>
      <w:r w:rsidR="004B61B4">
        <w:rPr>
          <w:lang w:val="en-US"/>
        </w:rPr>
        <w:fldChar w:fldCharType="separate"/>
      </w:r>
      <w:r w:rsidR="004B61B4">
        <w:rPr>
          <w:noProof/>
          <w:lang w:val="en-US"/>
        </w:rPr>
        <w:t>(</w:t>
      </w:r>
      <w:hyperlink w:anchor="_ENREF_35" w:tooltip="Steyerberg, 2010 #672" w:history="1">
        <w:r w:rsidR="00BF347F">
          <w:rPr>
            <w:noProof/>
            <w:lang w:val="en-US"/>
          </w:rPr>
          <w:t>Steyerberg &amp; Pencina, 2010</w:t>
        </w:r>
      </w:hyperlink>
      <w:r w:rsidR="004B61B4">
        <w:rPr>
          <w:noProof/>
          <w:lang w:val="en-US"/>
        </w:rPr>
        <w:t>)</w:t>
      </w:r>
      <w:r w:rsidR="004B61B4">
        <w:rPr>
          <w:lang w:val="en-US"/>
        </w:rPr>
        <w:fldChar w:fldCharType="end"/>
      </w:r>
      <w:r w:rsidR="00BF347F">
        <w:rPr>
          <w:lang w:val="en-US"/>
        </w:rPr>
        <w:t xml:space="preserve"> </w:t>
      </w:r>
      <w:r w:rsidR="00BF347F">
        <w:rPr>
          <w:lang w:val="en-US"/>
        </w:rPr>
        <w:fldChar w:fldCharType="begin"/>
      </w:r>
      <w:r w:rsidR="00BF347F">
        <w:rPr>
          <w:lang w:val="en-US"/>
        </w:rPr>
        <w:instrText xml:space="preserve"> ADDIN EN.CITE &lt;EndNote&gt;&lt;Cite&gt;&lt;Author&gt;Pencina&lt;/Author&gt;&lt;Year&gt;2011&lt;/Year&gt;&lt;RecNum&gt;760&lt;/RecNum&gt;&lt;DisplayText&gt;(Pencina et al., 2011)&lt;/DisplayText&gt;&lt;record&gt;&lt;rec-number&gt;760&lt;/rec-number&gt;&lt;foreign-keys&gt;&lt;key app="EN" db-id="s5at2da0rxdws8ew29spaefwt99szxvvfawz"&gt;760&lt;/key&gt;&lt;/foreign-keys&gt;&lt;ref-type name="Journal Article"&gt;17&lt;/ref-type&gt;&lt;contributors&gt;&lt;authors&gt;&lt;author&gt;Pencina, M. J.&lt;/author&gt;&lt;author&gt;D&amp;apos;Agostino, R. B., Sr.&lt;/author&gt;&lt;author&gt;Steyerberg, E. W.&lt;/author&gt;&lt;/authors&gt;&lt;/contributors&gt;&lt;auth-address&gt;Department of Biostatistics, Boston University, 801 Massachusetts Ave, Boston, MA 02118, USA. mpencina@bu.edu&lt;/auth-address&gt;&lt;titles&gt;&lt;title&gt;Extensions of net reclassification improvement calculations to measure usefulness of new biomarkers&lt;/title&gt;&lt;secondary-title&gt;Stat Med&lt;/secondary-title&gt;&lt;/titles&gt;&lt;periodical&gt;&lt;full-title&gt;Stat Med&lt;/full-title&gt;&lt;/periodical&gt;&lt;pages&gt;11-21&lt;/pages&gt;&lt;volume&gt;30&lt;/volume&gt;&lt;number&gt;1&lt;/number&gt;&lt;edition&gt;2011/01/05&lt;/edition&gt;&lt;keywords&gt;&lt;keyword&gt;Adult&lt;/keyword&gt;&lt;keyword&gt;Aged&lt;/keyword&gt;&lt;keyword&gt;Biological Markers/*analysis&lt;/keyword&gt;&lt;keyword&gt;Case-Control Studies&lt;/keyword&gt;&lt;keyword&gt;Coronary Disease/epidemiology/metabolism&lt;/keyword&gt;&lt;keyword&gt;Female&lt;/keyword&gt;&lt;keyword&gt;Humans&lt;/keyword&gt;&lt;keyword&gt;Kaplan-Meier Estimate&lt;/keyword&gt;&lt;keyword&gt;Longitudinal Studies&lt;/keyword&gt;&lt;keyword&gt;Male&lt;/keyword&gt;&lt;keyword&gt;Middle Aged&lt;/keyword&gt;&lt;keyword&gt;*Models, Biological&lt;/keyword&gt;&lt;keyword&gt;*Models, Statistical&lt;/keyword&gt;&lt;keyword&gt;Risk Assessment/*methods&lt;/keyword&gt;&lt;/keywords&gt;&lt;dates&gt;&lt;year&gt;2011&lt;/year&gt;&lt;pub-dates&gt;&lt;date&gt;Jan 15&lt;/date&gt;&lt;/pub-dates&gt;&lt;/dates&gt;&lt;isbn&gt;1097-0258 (Electronic)&amp;#xD;0277-6715 (Linking)&lt;/isbn&gt;&lt;accession-num&gt;21204120&lt;/accession-num&gt;&lt;urls&gt;&lt;related-urls&gt;&lt;url&gt;http://www.ncbi.nlm.nih.gov/entrez/query.fcgi?cmd=Retrieve&amp;amp;db=PubMed&amp;amp;dopt=Citation&amp;amp;list_uids=21204120&lt;/url&gt;&lt;/related-urls&gt;&lt;/urls&gt;&lt;electronic-resource-num&gt;10.1002/sim.4085&lt;/electronic-resource-num&gt;&lt;language&gt;eng&lt;/language&gt;&lt;/record&gt;&lt;/Cite&gt;&lt;/EndNote&gt;</w:instrText>
      </w:r>
      <w:r w:rsidR="00BF347F">
        <w:rPr>
          <w:lang w:val="en-US"/>
        </w:rPr>
        <w:fldChar w:fldCharType="separate"/>
      </w:r>
      <w:r w:rsidR="00BF347F">
        <w:rPr>
          <w:noProof/>
          <w:lang w:val="en-US"/>
        </w:rPr>
        <w:t>(</w:t>
      </w:r>
      <w:hyperlink w:anchor="_ENREF_26" w:tooltip="Pencina, 2011 #760" w:history="1">
        <w:r w:rsidR="00BF347F">
          <w:rPr>
            <w:noProof/>
            <w:lang w:val="en-US"/>
          </w:rPr>
          <w:t>Pencina et al., 2011</w:t>
        </w:r>
      </w:hyperlink>
      <w:r w:rsidR="00BF347F">
        <w:rPr>
          <w:noProof/>
          <w:lang w:val="en-US"/>
        </w:rPr>
        <w:t>)</w:t>
      </w:r>
      <w:r w:rsidR="00BF347F">
        <w:rPr>
          <w:lang w:val="en-US"/>
        </w:rPr>
        <w:fldChar w:fldCharType="end"/>
      </w:r>
      <w:r w:rsidR="003D4B40">
        <w:rPr>
          <w:lang w:val="en-US"/>
        </w:rPr>
        <w:t xml:space="preserve">. </w:t>
      </w:r>
    </w:p>
    <w:p w:rsidR="00B85B9F" w:rsidRPr="00A250CB" w:rsidRDefault="00B85B9F" w:rsidP="00351E97">
      <w:pPr>
        <w:spacing w:line="360" w:lineRule="auto"/>
        <w:rPr>
          <w:lang w:val="en-US"/>
        </w:rPr>
      </w:pPr>
    </w:p>
    <w:p w:rsidR="00B85B9F" w:rsidRPr="00A250CB" w:rsidRDefault="00B85B9F" w:rsidP="00C36504">
      <w:pPr>
        <w:keepNext/>
        <w:keepLines/>
        <w:spacing w:line="360" w:lineRule="auto"/>
        <w:rPr>
          <w:b/>
          <w:lang w:val="en-US"/>
        </w:rPr>
      </w:pPr>
      <w:r w:rsidRPr="00A250CB">
        <w:rPr>
          <w:b/>
          <w:lang w:val="en-US"/>
        </w:rPr>
        <w:lastRenderedPageBreak/>
        <w:t>Performance measures related to continuous predictions</w:t>
      </w:r>
    </w:p>
    <w:p w:rsidR="00B85B9F" w:rsidRPr="00A250CB" w:rsidRDefault="00B85B9F" w:rsidP="00C36504">
      <w:pPr>
        <w:keepNext/>
        <w:keepLines/>
        <w:spacing w:line="360" w:lineRule="auto"/>
        <w:rPr>
          <w:i/>
          <w:lang w:val="en-US"/>
        </w:rPr>
      </w:pPr>
      <w:r w:rsidRPr="00A250CB">
        <w:rPr>
          <w:i/>
          <w:lang w:val="en-US"/>
        </w:rPr>
        <w:t>Densities and box plots with their summary measures</w:t>
      </w:r>
    </w:p>
    <w:p w:rsidR="00B85B9F" w:rsidRPr="00A250CB" w:rsidRDefault="00B85B9F" w:rsidP="00C36504">
      <w:pPr>
        <w:keepNext/>
        <w:keepLines/>
        <w:spacing w:line="360" w:lineRule="auto"/>
        <w:rPr>
          <w:lang w:val="en-US"/>
        </w:rPr>
      </w:pPr>
      <w:r w:rsidRPr="00A250CB">
        <w:rPr>
          <w:lang w:val="en-US"/>
        </w:rPr>
        <w:t>A better prediction model will provide predict</w:t>
      </w:r>
      <w:r>
        <w:rPr>
          <w:lang w:val="en-US"/>
        </w:rPr>
        <w:t>ed risks</w:t>
      </w:r>
      <w:r w:rsidRPr="00A250CB">
        <w:rPr>
          <w:lang w:val="en-US"/>
        </w:rPr>
        <w:t xml:space="preserve"> closer to the observed outcome: higher </w:t>
      </w:r>
      <w:r>
        <w:rPr>
          <w:lang w:val="en-US"/>
        </w:rPr>
        <w:t xml:space="preserve">predicted </w:t>
      </w:r>
      <w:r w:rsidRPr="00A250CB">
        <w:rPr>
          <w:lang w:val="en-US"/>
        </w:rPr>
        <w:t xml:space="preserve">risks for those with an event, and lower </w:t>
      </w:r>
      <w:r>
        <w:rPr>
          <w:lang w:val="en-US"/>
        </w:rPr>
        <w:t xml:space="preserve">predicted </w:t>
      </w:r>
      <w:r w:rsidRPr="00A250CB">
        <w:rPr>
          <w:lang w:val="en-US"/>
        </w:rPr>
        <w:t>risks for those without an event. Potential graphical illustrations include a density plot (Fig 1)</w:t>
      </w:r>
      <w:r w:rsidR="007223BD">
        <w:rPr>
          <w:lang w:val="en-US"/>
        </w:rPr>
        <w:t xml:space="preserve"> or</w:t>
      </w:r>
      <w:r w:rsidRPr="00A250CB">
        <w:rPr>
          <w:lang w:val="en-US"/>
        </w:rPr>
        <w:t xml:space="preserve"> </w:t>
      </w:r>
      <w:r w:rsidR="007223BD">
        <w:rPr>
          <w:lang w:val="en-US"/>
        </w:rPr>
        <w:t>a</w:t>
      </w:r>
      <w:r w:rsidRPr="00A250CB">
        <w:rPr>
          <w:lang w:val="en-US"/>
        </w:rPr>
        <w:t xml:space="preserve"> box plot (Fig 2)</w:t>
      </w:r>
      <w:r w:rsidR="007223BD">
        <w:rPr>
          <w:lang w:val="en-US"/>
        </w:rPr>
        <w:t xml:space="preserve">, </w:t>
      </w:r>
      <w:r w:rsidRPr="00A250CB">
        <w:rPr>
          <w:lang w:val="en-US"/>
        </w:rPr>
        <w:t>where we can compare the predict</w:t>
      </w:r>
      <w:r>
        <w:rPr>
          <w:lang w:val="en-US"/>
        </w:rPr>
        <w:t>ed risks</w:t>
      </w:r>
      <w:r w:rsidRPr="00A250CB">
        <w:rPr>
          <w:lang w:val="en-US"/>
        </w:rPr>
        <w:t xml:space="preserve"> </w:t>
      </w:r>
      <w:r>
        <w:rPr>
          <w:lang w:val="en-US"/>
        </w:rPr>
        <w:t xml:space="preserve">from models </w:t>
      </w:r>
      <w:r w:rsidRPr="00A250CB">
        <w:rPr>
          <w:lang w:val="en-US"/>
        </w:rPr>
        <w:t>with and without the marker</w:t>
      </w:r>
      <w:r w:rsidR="000A173D" w:rsidRPr="005F31D7">
        <w:rPr>
          <w:lang w:val="en-US"/>
        </w:rPr>
        <w:t xml:space="preserve"> </w:t>
      </w:r>
      <w:r w:rsidR="004B61B4">
        <w:rPr>
          <w:lang w:val="en-US"/>
        </w:rPr>
        <w:fldChar w:fldCharType="begin"/>
      </w:r>
      <w:r w:rsidR="004B61B4">
        <w:rPr>
          <w:lang w:val="en-US"/>
        </w:rPr>
        <w:instrText xml:space="preserve"> ADDIN EN.CITE &lt;EndNote&gt;&lt;Cite&gt;&lt;Author&gt;Royston&lt;/Author&gt;&lt;Year&gt;2010&lt;/Year&gt;&lt;RecNum&gt;880&lt;/RecNum&gt;&lt;DisplayText&gt;(Royston &amp;amp; Altman, 2010)&lt;/DisplayText&gt;&lt;record&gt;&lt;rec-number&gt;880&lt;/rec-number&gt;&lt;foreign-keys&gt;&lt;key app="EN" db-id="s5at2da0rxdws8ew29spaefwt99szxvvfawz"&gt;880&lt;/key&gt;&lt;/foreign-keys&gt;&lt;ref-type name="Journal Article"&gt;17&lt;/ref-type&gt;&lt;contributors&gt;&lt;authors&gt;&lt;author&gt;Royston, P.&lt;/author&gt;&lt;author&gt;Altman, D. G.&lt;/author&gt;&lt;/authors&gt;&lt;/contributors&gt;&lt;auth-address&gt;MRC Clinical Trials Unit, 222 Euston Road, London NW12DA, UK. pr@ctu.mrc.ac.uk&lt;/auth-address&gt;&lt;titles&gt;&lt;title&gt;Visualizing and assessing discrimination in the logistic regression model&lt;/title&gt;&lt;secondary-title&gt;Stat Med&lt;/secondary-title&gt;&lt;/titles&gt;&lt;periodical&gt;&lt;full-title&gt;Stat Med&lt;/full-title&gt;&lt;/periodical&gt;&lt;pages&gt;2508-20&lt;/pages&gt;&lt;volume&gt;29&lt;/volume&gt;&lt;number&gt;24&lt;/number&gt;&lt;edition&gt;2010/07/20&lt;/edition&gt;&lt;keywords&gt;&lt;keyword&gt;Breast Neoplasms/diagnosis&lt;/keyword&gt;&lt;keyword&gt;Confidence Intervals&lt;/keyword&gt;&lt;keyword&gt;Coronary Disease/mortality&lt;/keyword&gt;&lt;keyword&gt;*Data Display&lt;/keyword&gt;&lt;keyword&gt;Decision Support Techniques&lt;/keyword&gt;&lt;keyword&gt;Discriminant Analysis&lt;/keyword&gt;&lt;keyword&gt;Female&lt;/keyword&gt;&lt;keyword&gt;Humans&lt;/keyword&gt;&lt;keyword&gt;*Logistic Models&lt;/keyword&gt;&lt;keyword&gt;Multivariate Analysis&lt;/keyword&gt;&lt;keyword&gt;Predictive Value of Tests&lt;/keyword&gt;&lt;keyword&gt;Prognosis&lt;/keyword&gt;&lt;keyword&gt;ROC Curve&lt;/keyword&gt;&lt;keyword&gt;Risk Assessment/methods&lt;/keyword&gt;&lt;keyword&gt;Treatment Outcome&lt;/keyword&gt;&lt;/keywords&gt;&lt;dates&gt;&lt;year&gt;2010&lt;/year&gt;&lt;pub-dates&gt;&lt;date&gt;Oct 30&lt;/date&gt;&lt;/pub-dates&gt;&lt;/dates&gt;&lt;isbn&gt;1097-0258 (Electronic)&amp;#xD;0277-6715 (Linking)&lt;/isbn&gt;&lt;accession-num&gt;20641144&lt;/accession-num&gt;&lt;urls&gt;&lt;related-urls&gt;&lt;url&gt;http://www.ncbi.nlm.nih.gov/pubmed/20641144&lt;/url&gt;&lt;/related-urls&gt;&lt;/urls&gt;&lt;electronic-resource-num&gt;10.1002/sim.3994&lt;/electronic-resource-num&gt;&lt;language&gt;eng&lt;/language&gt;&lt;/record&gt;&lt;/Cite&gt;&lt;/EndNote&gt;</w:instrText>
      </w:r>
      <w:r w:rsidR="004B61B4">
        <w:rPr>
          <w:lang w:val="en-US"/>
        </w:rPr>
        <w:fldChar w:fldCharType="separate"/>
      </w:r>
      <w:r w:rsidR="004B61B4">
        <w:rPr>
          <w:noProof/>
          <w:lang w:val="en-US"/>
        </w:rPr>
        <w:t>(</w:t>
      </w:r>
      <w:hyperlink w:anchor="_ENREF_31" w:tooltip="Royston, 2010 #880" w:history="1">
        <w:r w:rsidR="00BF347F">
          <w:rPr>
            <w:noProof/>
            <w:lang w:val="en-US"/>
          </w:rPr>
          <w:t>Royston &amp; Altman, 2010</w:t>
        </w:r>
      </w:hyperlink>
      <w:r w:rsidR="004B61B4">
        <w:rPr>
          <w:noProof/>
          <w:lang w:val="en-US"/>
        </w:rPr>
        <w:t>)</w:t>
      </w:r>
      <w:r w:rsidR="004B61B4">
        <w:rPr>
          <w:lang w:val="en-US"/>
        </w:rPr>
        <w:fldChar w:fldCharType="end"/>
      </w:r>
      <w:r w:rsidR="007223BD">
        <w:rPr>
          <w:lang w:val="en-US"/>
        </w:rPr>
        <w:t>.</w:t>
      </w:r>
      <w:r w:rsidRPr="00A250CB">
        <w:rPr>
          <w:lang w:val="en-US"/>
        </w:rPr>
        <w:t xml:space="preserve"> In both plots, we may choose to show predicted values </w:t>
      </w:r>
      <w:r>
        <w:rPr>
          <w:lang w:val="en-US"/>
        </w:rPr>
        <w:t>transformed to</w:t>
      </w:r>
      <w:r w:rsidRPr="00A250CB">
        <w:rPr>
          <w:lang w:val="en-US"/>
        </w:rPr>
        <w:t xml:space="preserve"> the linear predictor scale (log hazard for survival, log odds for binary predictions), or at the absolute risk scale (as a percentage)</w:t>
      </w:r>
      <w:r>
        <w:rPr>
          <w:lang w:val="en-US"/>
        </w:rPr>
        <w:t>. In both plots, we hope to see more separation in predicted risks, i.e. lower risk predictions for those without and higher risk predictions for those with events.</w:t>
      </w:r>
    </w:p>
    <w:p w:rsidR="00B85B9F" w:rsidRDefault="00B85B9F" w:rsidP="00CF5BFA">
      <w:pPr>
        <w:spacing w:line="360" w:lineRule="auto"/>
        <w:ind w:firstLine="720"/>
        <w:rPr>
          <w:lang w:val="en-US"/>
        </w:rPr>
      </w:pPr>
      <w:r w:rsidRPr="00A250CB">
        <w:rPr>
          <w:lang w:val="en-US"/>
        </w:rPr>
        <w:t xml:space="preserve">A density plot may most naturally use the linear predictor scale, since a reasonably Normal distribution is commonly noted at this scale (Fig 1). </w:t>
      </w:r>
      <w:r>
        <w:rPr>
          <w:lang w:val="en-US"/>
        </w:rPr>
        <w:t>A density plot for the linear predictors relates to s</w:t>
      </w:r>
      <w:r w:rsidRPr="00A250CB">
        <w:rPr>
          <w:lang w:val="en-US"/>
        </w:rPr>
        <w:t xml:space="preserve">ummary measures </w:t>
      </w:r>
      <w:r>
        <w:rPr>
          <w:lang w:val="en-US"/>
        </w:rPr>
        <w:t>that</w:t>
      </w:r>
      <w:r w:rsidRPr="00A250CB">
        <w:rPr>
          <w:lang w:val="en-US"/>
        </w:rPr>
        <w:t xml:space="preserve"> </w:t>
      </w:r>
      <w:r>
        <w:rPr>
          <w:lang w:val="en-US"/>
        </w:rPr>
        <w:t>consider</w:t>
      </w:r>
      <w:r w:rsidRPr="00A250CB">
        <w:rPr>
          <w:lang w:val="en-US"/>
        </w:rPr>
        <w:t xml:space="preserve"> the log-based distances </w:t>
      </w:r>
      <w:r>
        <w:rPr>
          <w:lang w:val="en-US"/>
        </w:rPr>
        <w:t xml:space="preserve">of predictions </w:t>
      </w:r>
      <w:r w:rsidRPr="00A250CB">
        <w:rPr>
          <w:lang w:val="en-US"/>
        </w:rPr>
        <w:t xml:space="preserve">to observed outcomes. </w:t>
      </w:r>
      <w:r>
        <w:rPr>
          <w:lang w:val="en-US"/>
        </w:rPr>
        <w:t xml:space="preserve">One such summary measure is the </w:t>
      </w:r>
      <w:r w:rsidRPr="00A250CB">
        <w:rPr>
          <w:lang w:val="en-US"/>
        </w:rPr>
        <w:t xml:space="preserve">explained variation </w:t>
      </w:r>
      <w:r>
        <w:rPr>
          <w:lang w:val="en-US"/>
        </w:rPr>
        <w:t xml:space="preserve">as defined by </w:t>
      </w:r>
      <w:proofErr w:type="spellStart"/>
      <w:r>
        <w:rPr>
          <w:lang w:val="en-US"/>
        </w:rPr>
        <w:t>Nagelkerke</w:t>
      </w:r>
      <w:proofErr w:type="spellEnd"/>
      <w:r w:rsidRPr="00A250CB">
        <w:rPr>
          <w:lang w:val="en-US"/>
        </w:rPr>
        <w:t>, where the log-likelihood of a model</w:t>
      </w:r>
      <w:r>
        <w:rPr>
          <w:lang w:val="en-US"/>
        </w:rPr>
        <w:t xml:space="preserve"> is scaled between 0 and 100%:</w:t>
      </w:r>
    </w:p>
    <w:p w:rsidR="00B85B9F" w:rsidRPr="00F16E2F" w:rsidRDefault="00B85B9F" w:rsidP="0002616A">
      <w:pPr>
        <w:spacing w:line="360" w:lineRule="auto"/>
        <w:ind w:firstLine="720"/>
        <w:rPr>
          <w:lang w:val="en-US"/>
        </w:rPr>
      </w:pPr>
      <w:r w:rsidRPr="00F16E2F">
        <w:rPr>
          <w:lang w:val="en-US"/>
        </w:rPr>
        <w:t>R</w:t>
      </w:r>
      <w:r w:rsidRPr="00F16E2F">
        <w:rPr>
          <w:vertAlign w:val="superscript"/>
          <w:lang w:val="en-US"/>
        </w:rPr>
        <w:t>2</w:t>
      </w:r>
      <w:r w:rsidRPr="00F16E2F">
        <w:rPr>
          <w:vertAlign w:val="subscript"/>
          <w:lang w:val="en-US"/>
        </w:rPr>
        <w:t xml:space="preserve"> </w:t>
      </w:r>
      <w:r w:rsidRPr="00F16E2F">
        <w:rPr>
          <w:lang w:val="en-US"/>
        </w:rPr>
        <w:t xml:space="preserve">= (1 </w:t>
      </w:r>
      <w:r>
        <w:rPr>
          <w:lang w:val="en-US"/>
        </w:rPr>
        <w:t>–</w:t>
      </w:r>
      <w:r w:rsidRPr="00F16E2F">
        <w:rPr>
          <w:lang w:val="en-US"/>
        </w:rPr>
        <w:t xml:space="preserve"> </w:t>
      </w:r>
      <w:proofErr w:type="spellStart"/>
      <w:r w:rsidRPr="00F16E2F">
        <w:rPr>
          <w:lang w:val="en-US"/>
        </w:rPr>
        <w:t>exp</w:t>
      </w:r>
      <w:proofErr w:type="spellEnd"/>
      <w:r w:rsidRPr="00F16E2F">
        <w:rPr>
          <w:lang w:val="en-US"/>
        </w:rPr>
        <w:t xml:space="preserve">(-LR/n)) / (1 </w:t>
      </w:r>
      <w:r>
        <w:rPr>
          <w:lang w:val="en-US"/>
        </w:rPr>
        <w:t>–</w:t>
      </w:r>
      <w:r w:rsidRPr="00F16E2F">
        <w:rPr>
          <w:lang w:val="en-US"/>
        </w:rPr>
        <w:t xml:space="preserve"> </w:t>
      </w:r>
      <w:proofErr w:type="spellStart"/>
      <w:r w:rsidRPr="00F16E2F">
        <w:rPr>
          <w:lang w:val="en-US"/>
        </w:rPr>
        <w:t>exp</w:t>
      </w:r>
      <w:proofErr w:type="spellEnd"/>
      <w:r w:rsidRPr="00F16E2F">
        <w:rPr>
          <w:lang w:val="en-US"/>
        </w:rPr>
        <w:t>(- -2LL</w:t>
      </w:r>
      <w:r w:rsidRPr="00F16E2F">
        <w:rPr>
          <w:vertAlign w:val="subscript"/>
          <w:lang w:val="en-US"/>
        </w:rPr>
        <w:t>0</w:t>
      </w:r>
      <w:r w:rsidRPr="00F16E2F">
        <w:rPr>
          <w:lang w:val="en-US"/>
        </w:rPr>
        <w:t xml:space="preserve"> /n)),</w:t>
      </w:r>
    </w:p>
    <w:p w:rsidR="00B85B9F" w:rsidRPr="00EE512D" w:rsidRDefault="00B85B9F" w:rsidP="00EE512D">
      <w:pPr>
        <w:spacing w:line="360" w:lineRule="auto"/>
        <w:ind w:firstLine="720"/>
        <w:rPr>
          <w:lang w:val="en-US"/>
        </w:rPr>
      </w:pPr>
      <w:r>
        <w:rPr>
          <w:lang w:val="en-US"/>
        </w:rPr>
        <w:t xml:space="preserve">where LR is the Likelihood Ratio statistic of the model, </w:t>
      </w:r>
      <w:r w:rsidRPr="0002616A">
        <w:rPr>
          <w:lang w:val="en-US"/>
        </w:rPr>
        <w:t>-2LL</w:t>
      </w:r>
      <w:r w:rsidRPr="0002616A">
        <w:rPr>
          <w:vertAlign w:val="subscript"/>
          <w:lang w:val="en-US"/>
        </w:rPr>
        <w:t>0</w:t>
      </w:r>
      <w:r>
        <w:rPr>
          <w:lang w:val="en-US"/>
        </w:rPr>
        <w:t xml:space="preserve"> is the -2 log likelihood of the Null model without any covariates, and n is the number of subjects </w:t>
      </w:r>
      <w:r w:rsidR="004B61B4">
        <w:rPr>
          <w:lang w:val="en-US"/>
        </w:rPr>
        <w:fldChar w:fldCharType="begin"/>
      </w:r>
      <w:r w:rsidR="004B61B4">
        <w:rPr>
          <w:lang w:val="en-US"/>
        </w:rPr>
        <w:instrText xml:space="preserve"> ADDIN EN.CITE &lt;EndNote&gt;&lt;Cite&gt;&lt;Author&gt;Nagelkerke&lt;/Author&gt;&lt;Year&gt;1991&lt;/Year&gt;&lt;RecNum&gt;147&lt;/RecNum&gt;&lt;DisplayText&gt;(Nagelkerke, 1991)&lt;/DisplayText&gt;&lt;record&gt;&lt;rec-number&gt;147&lt;/rec-number&gt;&lt;foreign-keys&gt;&lt;key app="EN" db-id="s5at2da0rxdws8ew29spaefwt99szxvvfawz"&gt;147&lt;/key&gt;&lt;/foreign-keys&gt;&lt;ref-type name="Journal Article"&gt;17&lt;/ref-type&gt;&lt;contributors&gt;&lt;authors&gt;&lt;author&gt;Nagelkerke, N J&lt;/author&gt;&lt;/authors&gt;&lt;/contributors&gt;&lt;titles&gt;&lt;title&gt;A note on a general definition of the coefficient of determination&lt;/title&gt;&lt;secondary-title&gt;Biometrika&lt;/secondary-title&gt;&lt;/titles&gt;&lt;periodical&gt;&lt;full-title&gt;Biometrika&lt;/full-title&gt;&lt;/periodical&gt;&lt;pages&gt;691-692&lt;/pages&gt;&lt;number&gt;78&lt;/number&gt;&lt;dates&gt;&lt;year&gt;1991&lt;/year&gt;&lt;/dates&gt;&lt;urls&gt;&lt;/urls&gt;&lt;/record&gt;&lt;/Cite&gt;&lt;/EndNote&gt;</w:instrText>
      </w:r>
      <w:r w:rsidR="004B61B4">
        <w:rPr>
          <w:lang w:val="en-US"/>
        </w:rPr>
        <w:fldChar w:fldCharType="separate"/>
      </w:r>
      <w:r w:rsidR="004B61B4">
        <w:rPr>
          <w:noProof/>
          <w:lang w:val="en-US"/>
        </w:rPr>
        <w:t>(</w:t>
      </w:r>
      <w:hyperlink w:anchor="_ENREF_20" w:tooltip="Nagelkerke, 1991 #147" w:history="1">
        <w:r w:rsidR="00BF347F">
          <w:rPr>
            <w:noProof/>
            <w:lang w:val="en-US"/>
          </w:rPr>
          <w:t>Nagelkerke, 1991</w:t>
        </w:r>
      </w:hyperlink>
      <w:r w:rsidR="004B61B4">
        <w:rPr>
          <w:noProof/>
          <w:lang w:val="en-US"/>
        </w:rPr>
        <w:t>)</w:t>
      </w:r>
      <w:r w:rsidR="004B61B4">
        <w:rPr>
          <w:lang w:val="en-US"/>
        </w:rPr>
        <w:fldChar w:fldCharType="end"/>
      </w:r>
      <w:r>
        <w:rPr>
          <w:lang w:val="en-US"/>
        </w:rPr>
        <w:t xml:space="preserve">. In our example, </w:t>
      </w:r>
      <w:proofErr w:type="spellStart"/>
      <w:r w:rsidRPr="00A250CB">
        <w:rPr>
          <w:lang w:val="en-US"/>
        </w:rPr>
        <w:t>Nagelkerke’s</w:t>
      </w:r>
      <w:proofErr w:type="spellEnd"/>
      <w:r w:rsidRPr="00A250CB">
        <w:rPr>
          <w:lang w:val="en-US"/>
        </w:rPr>
        <w:t xml:space="preserve"> R</w:t>
      </w:r>
      <w:r w:rsidRPr="0001749C">
        <w:rPr>
          <w:vertAlign w:val="superscript"/>
          <w:lang w:val="en-US"/>
        </w:rPr>
        <w:t xml:space="preserve">2 </w:t>
      </w:r>
      <w:r>
        <w:rPr>
          <w:lang w:val="en-US"/>
        </w:rPr>
        <w:t>increased from 13.1% to 14.7% or +</w:t>
      </w:r>
      <w:r w:rsidRPr="00EE512D">
        <w:rPr>
          <w:lang w:val="en-US"/>
        </w:rPr>
        <w:t>1.6%.</w:t>
      </w:r>
    </w:p>
    <w:p w:rsidR="00B85B9F" w:rsidRDefault="00B85B9F" w:rsidP="007223BD">
      <w:pPr>
        <w:pStyle w:val="Tekstopmerking"/>
        <w:spacing w:line="360" w:lineRule="auto"/>
        <w:ind w:firstLine="720"/>
        <w:rPr>
          <w:sz w:val="24"/>
          <w:szCs w:val="24"/>
        </w:rPr>
      </w:pPr>
      <w:r w:rsidRPr="00EE512D">
        <w:rPr>
          <w:sz w:val="24"/>
          <w:szCs w:val="24"/>
        </w:rPr>
        <w:t>For box plots, the use of absolute risks has been proposed before. Box plots are attractive as a visual companion to measures such as the discrimination slope, which is defined as the difference in mean predicted risks for those with and without the event. The discrimination slope increased from 6.29% to 7.14% (+0.85%), which is identical to another relatively novel measure: the Integrated Discrimination Index (IDI, +0.0085)</w:t>
      </w:r>
      <w:r w:rsidR="000A173D" w:rsidRPr="00EE512D">
        <w:rPr>
          <w:sz w:val="24"/>
          <w:szCs w:val="24"/>
        </w:rPr>
        <w:t xml:space="preserve"> </w:t>
      </w:r>
      <w:r w:rsidR="004B61B4">
        <w:rPr>
          <w:sz w:val="24"/>
          <w:szCs w:val="24"/>
        </w:rPr>
        <w:fldChar w:fldCharType="begin"/>
      </w:r>
      <w:r w:rsidR="004B61B4">
        <w:rPr>
          <w:sz w:val="24"/>
          <w:szCs w:val="24"/>
        </w:rPr>
        <w:instrText xml:space="preserve"> ADDIN EN.CITE &lt;EndNote&gt;&lt;Cite&gt;&lt;Author&gt;Pencina&lt;/Author&gt;&lt;Year&gt;2008&lt;/Year&gt;&lt;RecNum&gt;573&lt;/RecNum&gt;&lt;DisplayText&gt;(Pencina et al., 2008)&lt;/DisplayText&gt;&lt;record&gt;&lt;rec-number&gt;573&lt;/rec-number&gt;&lt;foreign-keys&gt;&lt;key app="EN" db-id="s5at2da0rxdws8ew29spaefwt99szxvvfawz"&gt;573&lt;/key&gt;&lt;/foreign-keys&gt;&lt;ref-type name="Journal Article"&gt;17&lt;/ref-type&gt;&lt;contributors&gt;&lt;authors&gt;&lt;author&gt;Pencina, M. J.&lt;/author&gt;&lt;author&gt;D&amp;apos;Agostino, R. B., Sr.&lt;/author&gt;&lt;author&gt;D&amp;apos;Agostino, R. B., Jr.&lt;/author&gt;&lt;author&gt;Vasan, R. S.&lt;/author&gt;&lt;/authors&gt;&lt;/contributors&gt;&lt;auth-address&gt;Department of Mathematics and Statistics, Framingham Heart Study, Boston University, Boston, MA 02215, USA. mpencina@bu.edu&lt;/auth-address&gt;&lt;titles&gt;&lt;title&gt;Evaluating the added predictive ability of a new marker: from area under the ROC curve to reclassification and beyond&lt;/title&gt;&lt;secondary-title&gt;Stat Med&lt;/secondary-title&gt;&lt;alt-title&gt;Statistics in medicine&lt;/alt-title&gt;&lt;/titles&gt;&lt;periodical&gt;&lt;full-title&gt;Stat Med&lt;/full-title&gt;&lt;/periodical&gt;&lt;pages&gt;157-72; discussion 207-12&lt;/pages&gt;&lt;volume&gt;27&lt;/volume&gt;&lt;number&gt;2&lt;/number&gt;&lt;dates&gt;&lt;year&gt;2008&lt;/year&gt;&lt;pub-dates&gt;&lt;date&gt;Jan 30&lt;/date&gt;&lt;/pub-dates&gt;&lt;/dates&gt;&lt;isbn&gt;0277-6715 (Print)&lt;/isbn&gt;&lt;accession-num&gt;17569110&lt;/accession-num&gt;&lt;urls&gt;&lt;related-urls&gt;&lt;url&gt;http://www.ncbi.nlm.nih.gov/entrez/query.fcgi?cmd=Retrieve&amp;amp;db=PubMed&amp;amp;dopt=Citation&amp;amp;list_uids=17569110 &lt;/url&gt;&lt;/related-urls&gt;&lt;/urls&gt;&lt;language&gt;eng&lt;/language&gt;&lt;/record&gt;&lt;/Cite&gt;&lt;/EndNote&gt;</w:instrText>
      </w:r>
      <w:r w:rsidR="004B61B4">
        <w:rPr>
          <w:sz w:val="24"/>
          <w:szCs w:val="24"/>
        </w:rPr>
        <w:fldChar w:fldCharType="separate"/>
      </w:r>
      <w:r w:rsidR="004B61B4">
        <w:rPr>
          <w:noProof/>
          <w:sz w:val="24"/>
          <w:szCs w:val="24"/>
        </w:rPr>
        <w:t>(</w:t>
      </w:r>
      <w:hyperlink w:anchor="_ENREF_24" w:tooltip="Pencina, 2008 #573" w:history="1">
        <w:r w:rsidR="00BF347F">
          <w:rPr>
            <w:noProof/>
            <w:sz w:val="24"/>
            <w:szCs w:val="24"/>
          </w:rPr>
          <w:t>Pencina et al., 2008</w:t>
        </w:r>
      </w:hyperlink>
      <w:r w:rsidR="004B61B4">
        <w:rPr>
          <w:noProof/>
          <w:sz w:val="24"/>
          <w:szCs w:val="24"/>
        </w:rPr>
        <w:t>)</w:t>
      </w:r>
      <w:r w:rsidR="004B61B4">
        <w:rPr>
          <w:sz w:val="24"/>
          <w:szCs w:val="24"/>
        </w:rPr>
        <w:fldChar w:fldCharType="end"/>
      </w:r>
      <w:r w:rsidRPr="00EE512D">
        <w:rPr>
          <w:sz w:val="24"/>
          <w:szCs w:val="24"/>
        </w:rPr>
        <w:t>. The difference in Pearson’s R</w:t>
      </w:r>
      <w:r w:rsidRPr="00EE512D">
        <w:rPr>
          <w:sz w:val="24"/>
          <w:szCs w:val="24"/>
          <w:vertAlign w:val="superscript"/>
        </w:rPr>
        <w:t>2</w:t>
      </w:r>
      <w:r w:rsidRPr="00EE512D">
        <w:rPr>
          <w:sz w:val="24"/>
          <w:szCs w:val="24"/>
        </w:rPr>
        <w:t xml:space="preserve"> (defined simply by comparing predicted risks to observed outcomes) was +1.9% and hence larger than the IDI, although these estimates should be asymptotically equivalent</w:t>
      </w:r>
      <w:r w:rsidR="00536F26" w:rsidRPr="00EE512D">
        <w:rPr>
          <w:sz w:val="24"/>
          <w:szCs w:val="24"/>
        </w:rPr>
        <w:t xml:space="preserve"> </w:t>
      </w:r>
      <w:r w:rsidR="004B61B4">
        <w:rPr>
          <w:sz w:val="24"/>
          <w:szCs w:val="24"/>
        </w:rPr>
        <w:fldChar w:fldCharType="begin"/>
      </w:r>
      <w:r w:rsidR="004B61B4">
        <w:rPr>
          <w:sz w:val="24"/>
          <w:szCs w:val="24"/>
        </w:rPr>
        <w:instrText xml:space="preserve"> ADDIN EN.CITE &lt;EndNote&gt;&lt;Cite&gt;&lt;Author&gt;Tjur&lt;/Author&gt;&lt;Year&gt;2009&lt;/Year&gt;&lt;RecNum&gt;23&lt;/RecNum&gt;&lt;DisplayText&gt;(Tjur, 2009)&lt;/DisplayText&gt;&lt;record&gt;&lt;rec-number&gt;23&lt;/rec-number&gt;&lt;foreign-keys&gt;&lt;key app="EN" db-id="rtv2prz2p0ttw3ezv01x0raovvzvd0wfxprr"&gt;23&lt;/key&gt;&lt;/foreign-keys&gt;&lt;ref-type name="Journal Article"&gt;17&lt;/ref-type&gt;&lt;contributors&gt;&lt;authors&gt;&lt;author&gt;Tjur, Tue&lt;/author&gt;&lt;/authors&gt;&lt;/contributors&gt;&lt;titles&gt;&lt;title&gt;Coefficients of Determination in Logistic Regression Models—A New Proposal: The Coefficient of Discrimination&lt;/title&gt;&lt;secondary-title&gt;The American Statistician&lt;/secondary-title&gt;&lt;/titles&gt;&lt;periodical&gt;&lt;full-title&gt;The American Statistician&lt;/full-title&gt;&lt;/periodical&gt;&lt;pages&gt;366-372&lt;/pages&gt;&lt;volume&gt;63&lt;/volume&gt;&lt;number&gt;4&lt;/number&gt;&lt;dates&gt;&lt;year&gt;2009&lt;/year&gt;&lt;pub-dates&gt;&lt;date&gt;2009/11/01&lt;/date&gt;&lt;/pub-dates&gt;&lt;/dates&gt;&lt;publisher&gt;Taylor &amp;amp; Francis&lt;/publisher&gt;&lt;isbn&gt;0003-1305&lt;/isbn&gt;&lt;work-type&gt;doi: 10.1198/tast.2009.08210&lt;/work-type&gt;&lt;urls&gt;&lt;related-urls&gt;&lt;url&gt;http://dx.doi.org/10.1198/tast.2009.08210&lt;/url&gt;&lt;/related-urls&gt;&lt;/urls&gt;&lt;electronic-resource-num&gt;10.1198/tast.2009.08210&lt;/electronic-resource-num&gt;&lt;access-date&gt;2013/11/05&lt;/access-date&gt;&lt;/record&gt;&lt;/Cite&gt;&lt;/EndNote&gt;</w:instrText>
      </w:r>
      <w:r w:rsidR="004B61B4">
        <w:rPr>
          <w:sz w:val="24"/>
          <w:szCs w:val="24"/>
        </w:rPr>
        <w:fldChar w:fldCharType="separate"/>
      </w:r>
      <w:r w:rsidR="004B61B4">
        <w:rPr>
          <w:noProof/>
          <w:sz w:val="24"/>
          <w:szCs w:val="24"/>
        </w:rPr>
        <w:t>(</w:t>
      </w:r>
      <w:hyperlink w:anchor="_ENREF_37" w:tooltip="Tjur, 2009 #23" w:history="1">
        <w:r w:rsidR="00BF347F">
          <w:rPr>
            <w:noProof/>
            <w:sz w:val="24"/>
            <w:szCs w:val="24"/>
          </w:rPr>
          <w:t>Tjur, 2009</w:t>
        </w:r>
      </w:hyperlink>
      <w:r w:rsidR="004B61B4">
        <w:rPr>
          <w:noProof/>
          <w:sz w:val="24"/>
          <w:szCs w:val="24"/>
        </w:rPr>
        <w:t>)</w:t>
      </w:r>
      <w:r w:rsidR="004B61B4">
        <w:rPr>
          <w:sz w:val="24"/>
          <w:szCs w:val="24"/>
        </w:rPr>
        <w:fldChar w:fldCharType="end"/>
      </w:r>
      <w:r w:rsidR="00791556" w:rsidRPr="00791556">
        <w:rPr>
          <w:sz w:val="24"/>
          <w:szCs w:val="24"/>
        </w:rPr>
        <w:t>.</w:t>
      </w:r>
    </w:p>
    <w:p w:rsidR="007223BD" w:rsidRPr="004B61B4" w:rsidRDefault="007223BD" w:rsidP="007223BD">
      <w:pPr>
        <w:pStyle w:val="Tekstopmerking"/>
        <w:spacing w:line="360" w:lineRule="auto"/>
        <w:rPr>
          <w:sz w:val="24"/>
          <w:szCs w:val="24"/>
        </w:rPr>
      </w:pPr>
    </w:p>
    <w:p w:rsidR="007223BD" w:rsidRPr="00EE0606" w:rsidRDefault="007223BD" w:rsidP="007223BD">
      <w:pPr>
        <w:pStyle w:val="Tekstopmerking"/>
        <w:spacing w:line="360" w:lineRule="auto"/>
        <w:rPr>
          <w:i/>
          <w:sz w:val="24"/>
          <w:szCs w:val="24"/>
        </w:rPr>
      </w:pPr>
      <w:proofErr w:type="spellStart"/>
      <w:r w:rsidRPr="00EE0606">
        <w:rPr>
          <w:i/>
          <w:sz w:val="24"/>
          <w:szCs w:val="24"/>
        </w:rPr>
        <w:lastRenderedPageBreak/>
        <w:t>Predictiveness</w:t>
      </w:r>
      <w:proofErr w:type="spellEnd"/>
      <w:r w:rsidRPr="00EE0606">
        <w:rPr>
          <w:i/>
          <w:sz w:val="24"/>
          <w:szCs w:val="24"/>
        </w:rPr>
        <w:t xml:space="preserve"> curves</w:t>
      </w:r>
    </w:p>
    <w:p w:rsidR="006162D9" w:rsidRDefault="006162D9" w:rsidP="006162D9">
      <w:pPr>
        <w:pStyle w:val="Tekstopmerking"/>
        <w:spacing w:line="360" w:lineRule="auto"/>
        <w:rPr>
          <w:sz w:val="24"/>
          <w:szCs w:val="24"/>
        </w:rPr>
      </w:pPr>
      <w:r w:rsidRPr="004423FC">
        <w:rPr>
          <w:sz w:val="24"/>
          <w:szCs w:val="24"/>
        </w:rPr>
        <w:t>The absolute risk can also be shown as a cumulative distribution</w:t>
      </w:r>
      <w:r w:rsidR="00C36504" w:rsidRPr="00C36504">
        <w:rPr>
          <w:sz w:val="24"/>
          <w:szCs w:val="24"/>
        </w:rPr>
        <w:t xml:space="preserve"> </w:t>
      </w:r>
      <w:r w:rsidR="00C36504">
        <w:rPr>
          <w:sz w:val="24"/>
          <w:szCs w:val="24"/>
        </w:rPr>
        <w:t xml:space="preserve">in a </w:t>
      </w:r>
      <w:proofErr w:type="spellStart"/>
      <w:r w:rsidR="00C36504">
        <w:rPr>
          <w:sz w:val="24"/>
          <w:szCs w:val="24"/>
        </w:rPr>
        <w:t>predictiveness</w:t>
      </w:r>
      <w:proofErr w:type="spellEnd"/>
      <w:r w:rsidR="00C36504">
        <w:rPr>
          <w:sz w:val="24"/>
          <w:szCs w:val="24"/>
        </w:rPr>
        <w:t xml:space="preserve"> curve</w:t>
      </w:r>
      <w:r w:rsidRPr="004423FC">
        <w:rPr>
          <w:sz w:val="24"/>
          <w:szCs w:val="24"/>
        </w:rPr>
        <w:t>, i.e. based on the ordering of risk from lowest to highest values</w:t>
      </w:r>
      <w:r>
        <w:rPr>
          <w:sz w:val="24"/>
          <w:szCs w:val="24"/>
        </w:rPr>
        <w:t xml:space="preserve"> </w:t>
      </w:r>
      <w:r w:rsidR="004B61B4">
        <w:rPr>
          <w:sz w:val="24"/>
          <w:szCs w:val="24"/>
          <w:lang w:val="nl-NL"/>
        </w:rPr>
        <w:fldChar w:fldCharType="begin"/>
      </w:r>
      <w:r w:rsidR="004B61B4" w:rsidRPr="004B61B4">
        <w:rPr>
          <w:sz w:val="24"/>
          <w:szCs w:val="24"/>
        </w:rPr>
        <w:instrText xml:space="preserve"> ADDIN EN.CITE &lt;EndNote&gt;&lt;Cite&gt;&lt;Author&gt;Pepe&lt;/Author&gt;&lt;Year&gt;2008&lt;/Year&gt;&lt;RecNum&gt;644&lt;/RecNum&gt;&lt;DisplayText&gt;(Pepe et al., 2008)&lt;/DisplayText&gt;&lt;record&gt;&lt;rec-number&gt;644&lt;/rec-number&gt;&lt;foreign-keys&gt;&lt;key app="EN" db-id="s5at2da0rxdws8ew29spaefwt99szxvvfawz"&gt;644&lt;/key&gt;&lt;/foreign-keys&gt;&lt;ref-type name="Journal Article"&gt;17&lt;/ref-type&gt;&lt;contributors&gt;&lt;authors&gt;&lt;author&gt;Pepe, M. S.&lt;/author&gt;&lt;author&gt;Feng, Z.&lt;/author&gt;&lt;author&gt;Huang, Y.&lt;/author&gt;&lt;author&gt;Longton, G.&lt;/author&gt;&lt;author&gt;Prentice, R.&lt;/author&gt;&lt;author&gt;Thompson, I. M.&lt;/author&gt;&lt;author&gt;Zheng, Y.&lt;/author&gt;&lt;/authors&gt;&lt;/contributors&gt;&lt;auth-address&gt;Fred Hutchinson Cancer Research Center, Seattle, WA 98109, USA. mspepe@u.washington.edu&lt;/auth-address&gt;&lt;titles&gt;&lt;title&gt;Integrating the predictiveness of a marker with its performance as a classifier&lt;/title&gt;&lt;secondary-title&gt;Am J Epidemiol&lt;/secondary-title&gt;&lt;/titles&gt;&lt;periodical&gt;&lt;full-title&gt;Am J Epidemiol&lt;/full-title&gt;&lt;/periodical&gt;&lt;pages&gt;362-8&lt;/pages&gt;&lt;volume&gt;167&lt;/volume&gt;&lt;number&gt;3&lt;/number&gt;&lt;keywords&gt;&lt;keyword&gt;Biological Markers/*analysis&lt;/keyword&gt;&lt;keyword&gt;Epidemiologic Methods&lt;/keyword&gt;&lt;keyword&gt;Humans&lt;/keyword&gt;&lt;keyword&gt;Logistic Models&lt;/keyword&gt;&lt;keyword&gt;Male&lt;/keyword&gt;&lt;keyword&gt;Models, Theoretical&lt;/keyword&gt;&lt;keyword&gt;*Predictive Value of Tests&lt;/keyword&gt;&lt;keyword&gt;Prostate-Specific Antigen/blood&lt;/keyword&gt;&lt;keyword&gt;ROC Curve&lt;/keyword&gt;&lt;keyword&gt;Risk&lt;/keyword&gt;&lt;keyword&gt;Risk Assessment/*methods&lt;/keyword&gt;&lt;keyword&gt;Sensitivity and Specificity&lt;/keyword&gt;&lt;/keywords&gt;&lt;dates&gt;&lt;year&gt;2008&lt;/year&gt;&lt;pub-dates&gt;&lt;date&gt;Feb 1&lt;/date&gt;&lt;/pub-dates&gt;&lt;/dates&gt;&lt;isbn&gt;1476-6256 (Electronic)&lt;/isbn&gt;&lt;accession-num&gt;17982157&lt;/accession-num&gt;&lt;urls&gt;&lt;related-urls&gt;&lt;url&gt;http://www.ncbi.nlm.nih.gov/entrez/query.fcgi?cmd=Retrieve&amp;amp;db=PubMed&amp;amp;dopt=Citation&amp;amp;list_uids=17982157 &lt;/url&gt;&lt;/related-urls&gt;&lt;/urls&gt;&lt;/record&gt;&lt;/Cite&gt;&lt;/EndNote&gt;</w:instrText>
      </w:r>
      <w:r w:rsidR="004B61B4">
        <w:rPr>
          <w:sz w:val="24"/>
          <w:szCs w:val="24"/>
          <w:lang w:val="nl-NL"/>
        </w:rPr>
        <w:fldChar w:fldCharType="separate"/>
      </w:r>
      <w:r w:rsidR="004B61B4" w:rsidRPr="004B61B4">
        <w:rPr>
          <w:noProof/>
          <w:sz w:val="24"/>
          <w:szCs w:val="24"/>
        </w:rPr>
        <w:t>(</w:t>
      </w:r>
      <w:hyperlink w:anchor="_ENREF_28" w:tooltip="Pepe, 2008 #644" w:history="1">
        <w:r w:rsidR="00BF347F" w:rsidRPr="004B61B4">
          <w:rPr>
            <w:noProof/>
            <w:sz w:val="24"/>
            <w:szCs w:val="24"/>
          </w:rPr>
          <w:t>Pepe et al., 2008</w:t>
        </w:r>
      </w:hyperlink>
      <w:r w:rsidR="004B61B4" w:rsidRPr="004B61B4">
        <w:rPr>
          <w:noProof/>
          <w:sz w:val="24"/>
          <w:szCs w:val="24"/>
        </w:rPr>
        <w:t>)</w:t>
      </w:r>
      <w:r w:rsidR="004B61B4">
        <w:rPr>
          <w:sz w:val="24"/>
          <w:szCs w:val="24"/>
          <w:lang w:val="nl-NL"/>
        </w:rPr>
        <w:fldChar w:fldCharType="end"/>
      </w:r>
      <w:r w:rsidRPr="004423FC">
        <w:rPr>
          <w:sz w:val="24"/>
          <w:szCs w:val="24"/>
        </w:rPr>
        <w:t xml:space="preserve">. Better </w:t>
      </w:r>
      <w:proofErr w:type="spellStart"/>
      <w:r w:rsidRPr="004423FC">
        <w:rPr>
          <w:sz w:val="24"/>
          <w:szCs w:val="24"/>
        </w:rPr>
        <w:t>predictivenes</w:t>
      </w:r>
      <w:r>
        <w:rPr>
          <w:sz w:val="24"/>
          <w:szCs w:val="24"/>
        </w:rPr>
        <w:t>s</w:t>
      </w:r>
      <w:proofErr w:type="spellEnd"/>
      <w:r>
        <w:rPr>
          <w:sz w:val="24"/>
          <w:szCs w:val="24"/>
        </w:rPr>
        <w:t xml:space="preserve"> </w:t>
      </w:r>
      <w:r w:rsidRPr="004423FC">
        <w:rPr>
          <w:sz w:val="24"/>
          <w:szCs w:val="24"/>
        </w:rPr>
        <w:t>is indicated by more spread in predictions, with many low predictions and a steep increase in the cumulative distribution of predictions at 1 minus the event rate. The event rate is useful as a reference line, with non-predictive model predictions being close to that line.</w:t>
      </w:r>
      <w:r>
        <w:rPr>
          <w:sz w:val="24"/>
          <w:szCs w:val="24"/>
        </w:rPr>
        <w:t xml:space="preserve"> In Fig</w:t>
      </w:r>
      <w:r w:rsidR="00C36504">
        <w:rPr>
          <w:sz w:val="24"/>
          <w:szCs w:val="24"/>
        </w:rPr>
        <w:t>ure</w:t>
      </w:r>
      <w:r>
        <w:rPr>
          <w:sz w:val="24"/>
          <w:szCs w:val="24"/>
        </w:rPr>
        <w:t xml:space="preserve"> 3, we note that the distribution of the risks based on the model with HDL is only slightly more extreme than the distribution based on the model without HDL, consistent with the minor increase in R</w:t>
      </w:r>
      <w:r w:rsidRPr="002C5BAF">
        <w:rPr>
          <w:sz w:val="24"/>
          <w:szCs w:val="24"/>
          <w:vertAlign w:val="superscript"/>
        </w:rPr>
        <w:t>2</w:t>
      </w:r>
      <w:r>
        <w:rPr>
          <w:sz w:val="24"/>
          <w:szCs w:val="24"/>
        </w:rPr>
        <w:t xml:space="preserve"> statistics as noted above. The performance of the models in the population is illustrated with a 20% risk threshold, where we note that both models would classify </w:t>
      </w:r>
      <w:r w:rsidR="00C36504">
        <w:rPr>
          <w:sz w:val="24"/>
          <w:szCs w:val="24"/>
        </w:rPr>
        <w:t xml:space="preserve">approximately </w:t>
      </w:r>
      <w:r>
        <w:rPr>
          <w:sz w:val="24"/>
          <w:szCs w:val="24"/>
        </w:rPr>
        <w:t xml:space="preserve">96% as low risk, and 4% as high risk. </w:t>
      </w:r>
    </w:p>
    <w:p w:rsidR="006162D9" w:rsidRDefault="003051FA" w:rsidP="006162D9">
      <w:pPr>
        <w:pStyle w:val="Tekstopmerking"/>
        <w:spacing w:line="360" w:lineRule="auto"/>
        <w:ind w:firstLine="720"/>
        <w:rPr>
          <w:sz w:val="24"/>
          <w:szCs w:val="24"/>
        </w:rPr>
      </w:pPr>
      <w:r>
        <w:rPr>
          <w:sz w:val="24"/>
          <w:szCs w:val="24"/>
        </w:rPr>
        <w:t>As for Fig 1 and Fig 2</w:t>
      </w:r>
      <w:r w:rsidR="006162D9">
        <w:rPr>
          <w:sz w:val="24"/>
          <w:szCs w:val="24"/>
        </w:rPr>
        <w:t xml:space="preserve">, we can stratify the </w:t>
      </w:r>
      <w:proofErr w:type="spellStart"/>
      <w:r w:rsidR="006162D9">
        <w:rPr>
          <w:sz w:val="24"/>
          <w:szCs w:val="24"/>
        </w:rPr>
        <w:t>predictiveness</w:t>
      </w:r>
      <w:proofErr w:type="spellEnd"/>
      <w:r w:rsidR="006162D9">
        <w:rPr>
          <w:sz w:val="24"/>
          <w:szCs w:val="24"/>
        </w:rPr>
        <w:t xml:space="preserve"> curve by event status. The specificity is related to the cumulative distribution of risks for those with no CHD event. Specificities were very similar in Fig 3, but the sensitivity of predictions from a model with HDL was higher than from a model without, consistent with Fig 1 and Fig 2. </w:t>
      </w:r>
    </w:p>
    <w:p w:rsidR="00791556" w:rsidRPr="00D93B06" w:rsidRDefault="00791556" w:rsidP="00791556">
      <w:pPr>
        <w:pStyle w:val="Tekstopmerking"/>
        <w:spacing w:line="360" w:lineRule="auto"/>
      </w:pPr>
    </w:p>
    <w:p w:rsidR="00B85B9F" w:rsidRPr="00A250CB" w:rsidRDefault="00B85B9F" w:rsidP="0064677B">
      <w:pPr>
        <w:spacing w:line="360" w:lineRule="auto"/>
        <w:rPr>
          <w:i/>
          <w:lang w:val="en-US"/>
        </w:rPr>
      </w:pPr>
      <w:r w:rsidRPr="00A250CB">
        <w:rPr>
          <w:i/>
          <w:lang w:val="en-US"/>
        </w:rPr>
        <w:t>ROC curves and area under the curve</w:t>
      </w:r>
    </w:p>
    <w:p w:rsidR="00B85B9F" w:rsidRPr="00A250CB" w:rsidRDefault="00B85B9F" w:rsidP="0064677B">
      <w:pPr>
        <w:spacing w:line="360" w:lineRule="auto"/>
        <w:rPr>
          <w:lang w:val="en-US"/>
        </w:rPr>
      </w:pPr>
      <w:r w:rsidRPr="00A250CB">
        <w:rPr>
          <w:lang w:val="en-US"/>
        </w:rPr>
        <w:t xml:space="preserve">The receiver operating characteristic (ROC) curve shows the relation between sensitivity (or the true positive rate, i.e. the </w:t>
      </w:r>
      <w:r>
        <w:rPr>
          <w:lang w:val="en-US"/>
        </w:rPr>
        <w:t xml:space="preserve">fraction with a predicted probability above a cut-off </w:t>
      </w:r>
      <w:r w:rsidRPr="00A250CB">
        <w:rPr>
          <w:lang w:val="en-US"/>
        </w:rPr>
        <w:t xml:space="preserve">among those </w:t>
      </w:r>
      <w:r>
        <w:rPr>
          <w:lang w:val="en-US"/>
        </w:rPr>
        <w:t xml:space="preserve">developing </w:t>
      </w:r>
      <w:r w:rsidRPr="00A250CB">
        <w:rPr>
          <w:lang w:val="en-US"/>
        </w:rPr>
        <w:t xml:space="preserve">CHD), versus 1 minus specificity (or the false positive rate, i.e. the </w:t>
      </w:r>
      <w:r>
        <w:rPr>
          <w:lang w:val="en-US"/>
        </w:rPr>
        <w:t xml:space="preserve">fraction with a predicted probability above a cut-off </w:t>
      </w:r>
      <w:r w:rsidRPr="00A250CB">
        <w:rPr>
          <w:lang w:val="en-US"/>
        </w:rPr>
        <w:t xml:space="preserve">among those </w:t>
      </w:r>
      <w:r>
        <w:rPr>
          <w:lang w:val="en-US"/>
        </w:rPr>
        <w:t xml:space="preserve">not developing </w:t>
      </w:r>
      <w:r w:rsidRPr="00A250CB">
        <w:rPr>
          <w:lang w:val="en-US"/>
        </w:rPr>
        <w:t xml:space="preserve">CHD, Fig </w:t>
      </w:r>
      <w:r w:rsidR="006162D9">
        <w:rPr>
          <w:lang w:val="en-US"/>
        </w:rPr>
        <w:t>4</w:t>
      </w:r>
      <w:r w:rsidRPr="00A250CB">
        <w:rPr>
          <w:lang w:val="en-US"/>
        </w:rPr>
        <w:t xml:space="preserve">). The sensitivity and specificity pairs are calculated for </w:t>
      </w:r>
      <w:r>
        <w:rPr>
          <w:lang w:val="en-US"/>
        </w:rPr>
        <w:t>consecutive</w:t>
      </w:r>
      <w:r w:rsidRPr="00A250CB">
        <w:rPr>
          <w:lang w:val="en-US"/>
        </w:rPr>
        <w:t xml:space="preserve"> cut-offs for the predicted probabilities of the 10</w:t>
      </w:r>
      <w:r>
        <w:rPr>
          <w:lang w:val="en-US"/>
        </w:rPr>
        <w:t>-</w:t>
      </w:r>
      <w:r w:rsidRPr="00A250CB">
        <w:rPr>
          <w:lang w:val="en-US"/>
        </w:rPr>
        <w:t>year CHD risk. The area under the ROC curve (AUC) is the most popular metric to quantify discriminati</w:t>
      </w:r>
      <w:r>
        <w:rPr>
          <w:lang w:val="en-US"/>
        </w:rPr>
        <w:t>ve ability, i.e. the ability to distinguish</w:t>
      </w:r>
      <w:r w:rsidRPr="00A250CB">
        <w:rPr>
          <w:lang w:val="en-US"/>
        </w:rPr>
        <w:t xml:space="preserve"> those who will develop the event of interest from those who will not.  The AUC is the probability that given two subjects (one with CHD and one </w:t>
      </w:r>
      <w:r>
        <w:rPr>
          <w:lang w:val="en-US"/>
        </w:rPr>
        <w:t>without</w:t>
      </w:r>
      <w:r w:rsidRPr="00A250CB">
        <w:rPr>
          <w:lang w:val="en-US"/>
        </w:rPr>
        <w:t xml:space="preserve"> CHD), the model will assign a higher probability of CHD to the former. The AUC is a rank order statistic, and </w:t>
      </w:r>
      <w:r>
        <w:rPr>
          <w:lang w:val="en-US"/>
        </w:rPr>
        <w:t xml:space="preserve">when estimated non-parametrically, </w:t>
      </w:r>
      <w:r w:rsidRPr="00A250CB">
        <w:rPr>
          <w:lang w:val="en-US"/>
        </w:rPr>
        <w:t xml:space="preserve">related to the Mann-Whitney U statistic: AUC = U / </w:t>
      </w:r>
      <w:r>
        <w:rPr>
          <w:lang w:val="en-US"/>
        </w:rPr>
        <w:t>(</w:t>
      </w:r>
      <w:r w:rsidRPr="00A250CB">
        <w:rPr>
          <w:lang w:val="en-US"/>
        </w:rPr>
        <w:t>n1</w:t>
      </w:r>
      <w:r>
        <w:rPr>
          <w:lang w:val="en-US"/>
        </w:rPr>
        <w:t xml:space="preserve"> * </w:t>
      </w:r>
      <w:r w:rsidRPr="00A250CB">
        <w:rPr>
          <w:lang w:val="en-US"/>
        </w:rPr>
        <w:t>n2</w:t>
      </w:r>
      <w:r>
        <w:rPr>
          <w:lang w:val="en-US"/>
        </w:rPr>
        <w:t>)</w:t>
      </w:r>
      <w:r w:rsidRPr="00A250CB">
        <w:rPr>
          <w:lang w:val="en-US"/>
        </w:rPr>
        <w:t>, where n1</w:t>
      </w:r>
      <w:r>
        <w:rPr>
          <w:lang w:val="en-US"/>
        </w:rPr>
        <w:t xml:space="preserve"> and </w:t>
      </w:r>
      <w:r w:rsidRPr="00A250CB">
        <w:rPr>
          <w:lang w:val="en-US"/>
        </w:rPr>
        <w:t xml:space="preserve">n2 are the numbers of </w:t>
      </w:r>
      <w:r>
        <w:rPr>
          <w:lang w:val="en-US"/>
        </w:rPr>
        <w:t>persons</w:t>
      </w:r>
      <w:r w:rsidRPr="00A250CB">
        <w:rPr>
          <w:lang w:val="en-US"/>
        </w:rPr>
        <w:t xml:space="preserve"> with </w:t>
      </w:r>
      <w:r w:rsidRPr="00A250CB">
        <w:rPr>
          <w:lang w:val="en-US"/>
        </w:rPr>
        <w:lastRenderedPageBreak/>
        <w:t>and without events (</w:t>
      </w:r>
      <w:r>
        <w:rPr>
          <w:lang w:val="en-US"/>
        </w:rPr>
        <w:t xml:space="preserve">for which the product equals </w:t>
      </w:r>
      <w:r w:rsidRPr="00A250CB">
        <w:rPr>
          <w:lang w:val="en-US"/>
        </w:rPr>
        <w:t xml:space="preserve">the number of </w:t>
      </w:r>
      <w:r>
        <w:rPr>
          <w:lang w:val="en-US"/>
        </w:rPr>
        <w:t xml:space="preserve">possible </w:t>
      </w:r>
      <w:r w:rsidRPr="00A250CB">
        <w:rPr>
          <w:lang w:val="en-US"/>
        </w:rPr>
        <w:t xml:space="preserve">pairs) </w:t>
      </w:r>
      <w:r w:rsidR="004B61B4">
        <w:rPr>
          <w:lang w:val="en-US"/>
        </w:rPr>
        <w:fldChar w:fldCharType="begin"/>
      </w:r>
      <w:r w:rsidR="004B61B4">
        <w:rPr>
          <w:lang w:val="en-US"/>
        </w:rPr>
        <w:instrText xml:space="preserve"> ADDIN EN.CITE &lt;EndNote&gt;&lt;Cite&gt;&lt;Author&gt;Hanley&lt;/Author&gt;&lt;Year&gt;1982&lt;/Year&gt;&lt;RecNum&gt;542&lt;/RecNum&gt;&lt;DisplayText&gt;(Hanley &amp;amp; McNeil, 1982)&lt;/DisplayText&gt;&lt;record&gt;&lt;rec-number&gt;542&lt;/rec-number&gt;&lt;foreign-keys&gt;&lt;key app="EN" db-id="s5at2da0rxdws8ew29spaefwt99szxvvfawz"&gt;542&lt;/key&gt;&lt;/foreign-keys&gt;&lt;ref-type name="Journal Article"&gt;17&lt;/ref-type&gt;&lt;contributors&gt;&lt;authors&gt;&lt;author&gt;Hanley, J. A.&lt;/author&gt;&lt;author&gt;McNeil, B. J.&lt;/author&gt;&lt;/authors&gt;&lt;/contributors&gt;&lt;titles&gt;&lt;title&gt;The meaning and use of the area under a receiver operating characteristic (ROC) curve&lt;/title&gt;&lt;secondary-title&gt;Radiology&lt;/secondary-title&gt;&lt;/titles&gt;&lt;periodical&gt;&lt;full-title&gt;Radiology&lt;/full-title&gt;&lt;/periodical&gt;&lt;pages&gt;29-36&lt;/pages&gt;&lt;volume&gt;143&lt;/volume&gt;&lt;number&gt;1&lt;/number&gt;&lt;keywords&gt;&lt;keyword&gt;Evaluation Studies&lt;/keyword&gt;&lt;keyword&gt;Humans&lt;/keyword&gt;&lt;keyword&gt;Mathematics&lt;/keyword&gt;&lt;keyword&gt;*Models, Theoretical&lt;/keyword&gt;&lt;keyword&gt;Statistics&lt;/keyword&gt;&lt;keyword&gt;*Technology, Radiologic&lt;/keyword&gt;&lt;/keywords&gt;&lt;dates&gt;&lt;year&gt;1982&lt;/year&gt;&lt;pub-dates&gt;&lt;date&gt;Apr&lt;/date&gt;&lt;/pub-dates&gt;&lt;/dates&gt;&lt;isbn&gt;0033-8419 (Print)&lt;/isbn&gt;&lt;accession-num&gt;7063747&lt;/accession-num&gt;&lt;urls&gt;&lt;related-urls&gt;&lt;url&gt;http://www.ncbi.nlm.nih.gov/entrez/query.fcgi?cmd=Retrieve&amp;amp;db=PubMed&amp;amp;dopt=Citation&amp;amp;list_uids=7063747&lt;/url&gt;&lt;/related-urls&gt;&lt;/urls&gt;&lt;/record&gt;&lt;/Cite&gt;&lt;/EndNote&gt;</w:instrText>
      </w:r>
      <w:r w:rsidR="004B61B4">
        <w:rPr>
          <w:lang w:val="en-US"/>
        </w:rPr>
        <w:fldChar w:fldCharType="separate"/>
      </w:r>
      <w:r w:rsidR="004B61B4">
        <w:rPr>
          <w:noProof/>
          <w:lang w:val="en-US"/>
        </w:rPr>
        <w:t>(</w:t>
      </w:r>
      <w:hyperlink w:anchor="_ENREF_11" w:tooltip="Hanley, 1982 #542" w:history="1">
        <w:r w:rsidR="00BF347F">
          <w:rPr>
            <w:noProof/>
            <w:lang w:val="en-US"/>
          </w:rPr>
          <w:t>Hanley &amp; McNeil, 1982</w:t>
        </w:r>
      </w:hyperlink>
      <w:r w:rsidR="004B61B4">
        <w:rPr>
          <w:noProof/>
          <w:lang w:val="en-US"/>
        </w:rPr>
        <w:t>)</w:t>
      </w:r>
      <w:r w:rsidR="004B61B4">
        <w:rPr>
          <w:lang w:val="en-US"/>
        </w:rPr>
        <w:fldChar w:fldCharType="end"/>
      </w:r>
      <w:r w:rsidR="00117494">
        <w:rPr>
          <w:lang w:val="en-US"/>
        </w:rPr>
        <w:t>.</w:t>
      </w:r>
      <w:r w:rsidR="003A067A" w:rsidRPr="003A067A">
        <w:rPr>
          <w:lang w:val="en-US"/>
        </w:rPr>
        <w:t xml:space="preserve"> </w:t>
      </w:r>
      <w:r w:rsidRPr="00A250CB">
        <w:rPr>
          <w:lang w:val="en-US"/>
        </w:rPr>
        <w:t>The AUC</w:t>
      </w:r>
      <w:r>
        <w:rPr>
          <w:lang w:val="en-US"/>
        </w:rPr>
        <w:t xml:space="preserve"> [</w:t>
      </w:r>
      <w:r w:rsidRPr="00A250CB">
        <w:rPr>
          <w:lang w:val="en-US"/>
        </w:rPr>
        <w:t>9</w:t>
      </w:r>
      <w:r>
        <w:rPr>
          <w:lang w:val="en-US"/>
        </w:rPr>
        <w:t>5% confidence interval]</w:t>
      </w:r>
      <w:r w:rsidRPr="00A250CB">
        <w:rPr>
          <w:lang w:val="en-US"/>
        </w:rPr>
        <w:t xml:space="preserve"> for the model without vs with HDL was 0.762 [0.730 – 0.794] vs 0.774 [0.742 – 0.806]. </w:t>
      </w:r>
      <w:r w:rsidR="00117494">
        <w:rPr>
          <w:lang w:val="en-US"/>
        </w:rPr>
        <w:t>We note that</w:t>
      </w:r>
      <w:r>
        <w:rPr>
          <w:lang w:val="en-US"/>
        </w:rPr>
        <w:t xml:space="preserve"> plotting ROC curves makes sense only when clinically relevant thresholds are indicated, at which sensitivity and specificity can be determined from the graph.</w:t>
      </w:r>
      <w:r w:rsidR="00117494">
        <w:rPr>
          <w:lang w:val="en-US"/>
        </w:rPr>
        <w:t xml:space="preserve"> The link between threshold and sensitivity/specificity is immediately clear in the </w:t>
      </w:r>
      <w:proofErr w:type="spellStart"/>
      <w:r w:rsidR="00117494">
        <w:rPr>
          <w:lang w:val="en-US"/>
        </w:rPr>
        <w:t>predictiveness</w:t>
      </w:r>
      <w:proofErr w:type="spellEnd"/>
      <w:r w:rsidR="00117494">
        <w:rPr>
          <w:lang w:val="en-US"/>
        </w:rPr>
        <w:t xml:space="preserve"> curve with stratification by event status (Fig 3</w:t>
      </w:r>
      <w:r w:rsidR="00F31597">
        <w:rPr>
          <w:lang w:val="en-US"/>
        </w:rPr>
        <w:t>, middle and right panels</w:t>
      </w:r>
      <w:r w:rsidR="00117494">
        <w:rPr>
          <w:lang w:val="en-US"/>
        </w:rPr>
        <w:t>).</w:t>
      </w:r>
      <w:r>
        <w:rPr>
          <w:lang w:val="en-US"/>
        </w:rPr>
        <w:t xml:space="preserve"> Furthermore, it should be noted that delta AUC depends strongly on the value of the reference model without the marker</w:t>
      </w:r>
      <w:r w:rsidR="003A067A">
        <w:rPr>
          <w:lang w:val="en-US"/>
        </w:rPr>
        <w:t xml:space="preserve"> </w:t>
      </w:r>
      <w:r w:rsidR="004B61B4">
        <w:rPr>
          <w:lang w:val="en-US"/>
        </w:rPr>
        <w:fldChar w:fldCharType="begin"/>
      </w:r>
      <w:r w:rsidR="004B61B4">
        <w:rPr>
          <w:lang w:val="en-US"/>
        </w:rPr>
        <w:instrText xml:space="preserve"> ADDIN EN.CITE &lt;EndNote&gt;&lt;Cite&gt;&lt;Author&gt;Pencina&lt;/Author&gt;&lt;Year&gt;2012&lt;/Year&gt;&lt;RecNum&gt;31&lt;/RecNum&gt;&lt;DisplayText&gt;(Pencina et al., 2012a)&lt;/DisplayText&gt;&lt;record&gt;&lt;rec-number&gt;31&lt;/rec-number&gt;&lt;foreign-keys&gt;&lt;key app="EN" db-id="rtv2prz2p0ttw3ezv01x0raovvzvd0wfxprr"&gt;31&lt;/key&gt;&lt;/foreign-keys&gt;&lt;ref-type name="Journal Article"&gt;17&lt;/ref-type&gt;&lt;contributors&gt;&lt;authors&gt;&lt;author&gt;Pencina, M. J.&lt;/author&gt;&lt;author&gt;D&amp;apos;Agostino, R. B.&lt;/author&gt;&lt;author&gt;Pencina, K. M.&lt;/author&gt;&lt;author&gt;Janssens, A. C.&lt;/author&gt;&lt;author&gt;Greenland, P.&lt;/author&gt;&lt;/authors&gt;&lt;/contributors&gt;&lt;auth-address&gt;Department of Biostatistics, Boston University, Massachusetts, USA. mpencina@bu.edu&lt;/auth-address&gt;&lt;titles&gt;&lt;title&gt;Interpreting incremental value of markers added to risk prediction models&lt;/title&gt;&lt;secondary-title&gt;Am J Epidemiol&lt;/secondary-title&gt;&lt;/titles&gt;&lt;periodical&gt;&lt;full-title&gt;Am J Epidemiol&lt;/full-title&gt;&lt;/periodical&gt;&lt;pages&gt;473-81&lt;/pages&gt;&lt;volume&gt;176&lt;/volume&gt;&lt;number&gt;6&lt;/number&gt;&lt;edition&gt;2012/08/10&lt;/edition&gt;&lt;keywords&gt;&lt;keyword&gt;Adult&lt;/keyword&gt;&lt;keyword&gt;Aged&lt;/keyword&gt;&lt;keyword&gt;Aged, 80 and over&lt;/keyword&gt;&lt;keyword&gt;Atrial Fibrillation/diagnosis/etiology/metabolism&lt;/keyword&gt;&lt;keyword&gt;Biological Markers/*metabolism&lt;/keyword&gt;&lt;keyword&gt;Computer Simulation&lt;/keyword&gt;&lt;keyword&gt;*Data Interpretation, Statistical&lt;/keyword&gt;&lt;keyword&gt;Humans&lt;/keyword&gt;&lt;keyword&gt;*Logistic Models&lt;/keyword&gt;&lt;keyword&gt;Middle Aged&lt;/keyword&gt;&lt;keyword&gt;Odds Ratio&lt;/keyword&gt;&lt;keyword&gt;Prognosis&lt;/keyword&gt;&lt;keyword&gt;*ROC Curve&lt;/keyword&gt;&lt;keyword&gt;Risk Assessment/*methods/statistics &amp;amp; numerical data&lt;/keyword&gt;&lt;keyword&gt;Risk Factors&lt;/keyword&gt;&lt;/keywords&gt;&lt;dates&gt;&lt;year&gt;2012&lt;/year&gt;&lt;pub-dates&gt;&lt;date&gt;Sep 15&lt;/date&gt;&lt;/pub-dates&gt;&lt;/dates&gt;&lt;isbn&gt;1476-6256 (Electronic)&amp;#xD;0002-9262 (Linking)&lt;/isbn&gt;&lt;accession-num&gt;22875755&lt;/accession-num&gt;&lt;urls&gt;&lt;related-urls&gt;&lt;url&gt;http://www.ncbi.nlm.nih.gov/pubmed/22875755&lt;/url&gt;&lt;/related-urls&gt;&lt;/urls&gt;&lt;custom2&gt;3530349&lt;/custom2&gt;&lt;electronic-resource-num&gt;kws207 [pii]&amp;#xD;10.1093/aje/kws207&lt;/electronic-resource-num&gt;&lt;language&gt;eng&lt;/language&gt;&lt;/record&gt;&lt;/Cite&gt;&lt;/EndNote&gt;</w:instrText>
      </w:r>
      <w:r w:rsidR="004B61B4">
        <w:rPr>
          <w:lang w:val="en-US"/>
        </w:rPr>
        <w:fldChar w:fldCharType="separate"/>
      </w:r>
      <w:r w:rsidR="004B61B4">
        <w:rPr>
          <w:noProof/>
          <w:lang w:val="en-US"/>
        </w:rPr>
        <w:t>(</w:t>
      </w:r>
      <w:hyperlink w:anchor="_ENREF_23" w:tooltip="Pencina, 2012 #31" w:history="1">
        <w:r w:rsidR="00BF347F">
          <w:rPr>
            <w:noProof/>
            <w:lang w:val="en-US"/>
          </w:rPr>
          <w:t>Pencina et al., 2012a</w:t>
        </w:r>
      </w:hyperlink>
      <w:r w:rsidR="004B61B4">
        <w:rPr>
          <w:noProof/>
          <w:lang w:val="en-US"/>
        </w:rPr>
        <w:t>)</w:t>
      </w:r>
      <w:r w:rsidR="004B61B4">
        <w:rPr>
          <w:lang w:val="en-US"/>
        </w:rPr>
        <w:fldChar w:fldCharType="end"/>
      </w:r>
      <w:r w:rsidR="003A067A" w:rsidRPr="00303B30">
        <w:rPr>
          <w:lang w:val="en-US"/>
        </w:rPr>
        <w:t xml:space="preserve"> </w:t>
      </w:r>
      <w:r w:rsidR="004B61B4">
        <w:rPr>
          <w:lang w:val="en-US"/>
        </w:rPr>
        <w:fldChar w:fldCharType="begin"/>
      </w:r>
      <w:r w:rsidR="004B61B4">
        <w:rPr>
          <w:lang w:val="en-US"/>
        </w:rPr>
        <w:instrText xml:space="preserve"> ADDIN EN.CITE &lt;EndNote&gt;&lt;Cite&gt;&lt;Author&gt;Austin&lt;/Author&gt;&lt;Year&gt;2013&lt;/Year&gt;&lt;RecNum&gt;845&lt;/RecNum&gt;&lt;DisplayText&gt;(Austin &amp;amp; Steyerberg, 2013)&lt;/DisplayText&gt;&lt;record&gt;&lt;rec-number&gt;845&lt;/rec-number&gt;&lt;foreign-keys&gt;&lt;key app="EN" db-id="s5at2da0rxdws8ew29spaefwt99szxvvfawz"&gt;845&lt;/key&gt;&lt;/foreign-keys&gt;&lt;ref-type name="Journal Article"&gt;17&lt;/ref-type&gt;&lt;contributors&gt;&lt;authors&gt;&lt;author&gt;Austin, P. C.&lt;/author&gt;&lt;author&gt;Steyerberg, E. W.&lt;/author&gt;&lt;/authors&gt;&lt;/contributors&gt;&lt;auth-address&gt;Institute for Clinical Evaluative Sciences, Toronto, ON, Canada. peter.austin@ices.on.ca&lt;/auth-address&gt;&lt;titles&gt;&lt;title&gt;Predictive accuracy of risk factors and markers: a simulation study of the effect of novel markers on different performance measures for logistic regression models&lt;/title&gt;&lt;secondary-title&gt;Stat Med&lt;/secondary-title&gt;&lt;/titles&gt;&lt;periodical&gt;&lt;full-title&gt;Stat Med&lt;/full-title&gt;&lt;/periodical&gt;&lt;pages&gt;661-72&lt;/pages&gt;&lt;volume&gt;32&lt;/volume&gt;&lt;number&gt;4&lt;/number&gt;&lt;edition&gt;2012/09/11&lt;/edition&gt;&lt;keywords&gt;&lt;keyword&gt;*Biological Markers&lt;/keyword&gt;&lt;keyword&gt;Biostatistics&lt;/keyword&gt;&lt;keyword&gt;Heart Failure/mortality&lt;/keyword&gt;&lt;keyword&gt;Humans&lt;/keyword&gt;&lt;keyword&gt;*Logistic Models&lt;/keyword&gt;&lt;keyword&gt;*Models, Statistical&lt;/keyword&gt;&lt;keyword&gt;Monte Carlo Method&lt;/keyword&gt;&lt;keyword&gt;Risk Factors&lt;/keyword&gt;&lt;/keywords&gt;&lt;dates&gt;&lt;year&gt;2013&lt;/year&gt;&lt;pub-dates&gt;&lt;date&gt;Feb 20&lt;/date&gt;&lt;/pub-dates&gt;&lt;/dates&gt;&lt;isbn&gt;1097-0258 (Electronic)&amp;#xD;0277-6715 (Linking)&lt;/isbn&gt;&lt;accession-num&gt;22961910&lt;/accession-num&gt;&lt;urls&gt;&lt;related-urls&gt;&lt;url&gt;http://www.ncbi.nlm.nih.gov/pubmed/22961910&lt;/url&gt;&lt;/related-urls&gt;&lt;/urls&gt;&lt;custom2&gt;3575692&lt;/custom2&gt;&lt;electronic-resource-num&gt;10.1002/sim.5598&lt;/electronic-resource-num&gt;&lt;language&gt;eng&lt;/language&gt;&lt;/record&gt;&lt;/Cite&gt;&lt;/EndNote&gt;</w:instrText>
      </w:r>
      <w:r w:rsidR="004B61B4">
        <w:rPr>
          <w:lang w:val="en-US"/>
        </w:rPr>
        <w:fldChar w:fldCharType="separate"/>
      </w:r>
      <w:r w:rsidR="004B61B4">
        <w:rPr>
          <w:noProof/>
          <w:lang w:val="en-US"/>
        </w:rPr>
        <w:t>(</w:t>
      </w:r>
      <w:hyperlink w:anchor="_ENREF_1" w:tooltip="Austin, 2013 #845" w:history="1">
        <w:r w:rsidR="00BF347F">
          <w:rPr>
            <w:noProof/>
            <w:lang w:val="en-US"/>
          </w:rPr>
          <w:t>Austin &amp; Steyerberg, 2013</w:t>
        </w:r>
      </w:hyperlink>
      <w:r w:rsidR="004B61B4">
        <w:rPr>
          <w:noProof/>
          <w:lang w:val="en-US"/>
        </w:rPr>
        <w:t>)</w:t>
      </w:r>
      <w:r w:rsidR="004B61B4">
        <w:rPr>
          <w:lang w:val="en-US"/>
        </w:rPr>
        <w:fldChar w:fldCharType="end"/>
      </w:r>
      <w:r w:rsidR="00791556">
        <w:rPr>
          <w:lang w:val="en-US"/>
        </w:rPr>
        <w:t>.</w:t>
      </w:r>
    </w:p>
    <w:p w:rsidR="00B85B9F" w:rsidRPr="00A250CB" w:rsidRDefault="00B85B9F" w:rsidP="00351E97">
      <w:pPr>
        <w:spacing w:line="360" w:lineRule="auto"/>
        <w:rPr>
          <w:lang w:val="en-US"/>
        </w:rPr>
      </w:pPr>
    </w:p>
    <w:p w:rsidR="00B85B9F" w:rsidRPr="00A250CB" w:rsidRDefault="00B85B9F" w:rsidP="00D97A93">
      <w:pPr>
        <w:spacing w:line="360" w:lineRule="auto"/>
        <w:rPr>
          <w:i/>
          <w:lang w:val="en-US"/>
        </w:rPr>
      </w:pPr>
      <w:r w:rsidRPr="00A250CB">
        <w:rPr>
          <w:i/>
          <w:lang w:val="en-US"/>
        </w:rPr>
        <w:t>Reclassification plots and the Net Reclassification Improvement</w:t>
      </w:r>
    </w:p>
    <w:p w:rsidR="00B85B9F" w:rsidRDefault="00B85B9F" w:rsidP="000E11BC">
      <w:pPr>
        <w:spacing w:line="360" w:lineRule="auto"/>
        <w:rPr>
          <w:lang w:val="en-US"/>
        </w:rPr>
      </w:pPr>
      <w:r>
        <w:rPr>
          <w:lang w:val="en-US"/>
        </w:rPr>
        <w:t>A simple and informative graphical summary can be obtained by plotting the predicted probabilities based on the model with versus that without the new marker(s) with different symbols denoting subjects with and without events</w:t>
      </w:r>
      <w:r w:rsidR="00117494">
        <w:rPr>
          <w:lang w:val="en-US"/>
        </w:rPr>
        <w:t xml:space="preserve"> </w:t>
      </w:r>
      <w:r w:rsidR="006162D9">
        <w:rPr>
          <w:lang w:val="en-US"/>
        </w:rPr>
        <w:t xml:space="preserve">(Fig 5) </w:t>
      </w:r>
      <w:r w:rsidR="004B61B4">
        <w:rPr>
          <w:lang w:val="en-US"/>
        </w:rPr>
        <w:fldChar w:fldCharType="begin"/>
      </w:r>
      <w:r w:rsidR="004B61B4">
        <w:rPr>
          <w:lang w:val="en-US"/>
        </w:rPr>
        <w:instrText xml:space="preserve"> ADDIN EN.CITE &lt;EndNote&gt;&lt;Cite&gt;&lt;Author&gt;McGeechan&lt;/Author&gt;&lt;Year&gt;2008&lt;/Year&gt;&lt;RecNum&gt;648&lt;/RecNum&gt;&lt;DisplayText&gt;(McGeechan et al., 2008)&lt;/DisplayText&gt;&lt;record&gt;&lt;rec-number&gt;648&lt;/rec-number&gt;&lt;foreign-keys&gt;&lt;key app="EN" db-id="s5at2da0rxdws8ew29spaefwt99szxvvfawz"&gt;648&lt;/key&gt;&lt;/foreign-keys&gt;&lt;ref-type name="Journal Article"&gt;17&lt;/ref-type&gt;&lt;contributors&gt;&lt;authors&gt;&lt;author&gt;McGeechan, K.&lt;/author&gt;&lt;author&gt;Macaskill, P.&lt;/author&gt;&lt;author&gt;Irwig, L.&lt;/author&gt;&lt;author&gt;Liew, G.&lt;/author&gt;&lt;author&gt;Wong, T. Y.&lt;/author&gt;&lt;/authors&gt;&lt;/contributors&gt;&lt;auth-address&gt;Centre for Eye Research Australia, University of Melbourne, 32 Gisborne St, East Melbourne 3002, Australia.&lt;/auth-address&gt;&lt;titles&gt;&lt;title&gt;Assessing new biomarkers and predictive models for use in clinical practice: a clinician&amp;apos;s guide&lt;/title&gt;&lt;secondary-title&gt;Arch Intern Med&lt;/secondary-title&gt;&lt;alt-title&gt;Archives of internal medicine&lt;/alt-title&gt;&lt;/titles&gt;&lt;periodical&gt;&lt;full-title&gt;Arch Intern Med&lt;/full-title&gt;&lt;/periodical&gt;&lt;pages&gt;2304-10&lt;/pages&gt;&lt;volume&gt;168&lt;/volume&gt;&lt;number&gt;21&lt;/number&gt;&lt;keywords&gt;&lt;keyword&gt;Biological Markers/analysis&lt;/keyword&gt;&lt;keyword&gt;Cardiovascular Diseases/classification/*diagnosis/*epidemiology&lt;/keyword&gt;&lt;keyword&gt;Female&lt;/keyword&gt;&lt;keyword&gt;Humans&lt;/keyword&gt;&lt;keyword&gt;Male&lt;/keyword&gt;&lt;keyword&gt;*Models, Statistical&lt;/keyword&gt;&lt;keyword&gt;Prognosis&lt;/keyword&gt;&lt;keyword&gt;Risk Assessment&lt;/keyword&gt;&lt;/keywords&gt;&lt;dates&gt;&lt;year&gt;2008&lt;/year&gt;&lt;pub-dates&gt;&lt;date&gt;Nov 24&lt;/date&gt;&lt;/pub-dates&gt;&lt;/dates&gt;&lt;isbn&gt;1538-3679 (Electronic)&lt;/isbn&gt;&lt;accession-num&gt;19029492&lt;/accession-num&gt;&lt;urls&gt;&lt;related-urls&gt;&lt;url&gt;http://www.ncbi.nlm.nih.gov/entrez/query.fcgi?cmd=Retrieve&amp;amp;db=PubMed&amp;amp;dopt=Citation&amp;amp;list_uids=19029492 &lt;/url&gt;&lt;/related-urls&gt;&lt;/urls&gt;&lt;language&gt;eng&lt;/language&gt;&lt;/record&gt;&lt;/Cite&gt;&lt;/EndNote&gt;</w:instrText>
      </w:r>
      <w:r w:rsidR="004B61B4">
        <w:rPr>
          <w:lang w:val="en-US"/>
        </w:rPr>
        <w:fldChar w:fldCharType="separate"/>
      </w:r>
      <w:r w:rsidR="004B61B4">
        <w:rPr>
          <w:noProof/>
          <w:lang w:val="en-US"/>
        </w:rPr>
        <w:t>(</w:t>
      </w:r>
      <w:hyperlink w:anchor="_ENREF_19" w:tooltip="McGeechan, 2008 #648" w:history="1">
        <w:r w:rsidR="00BF347F">
          <w:rPr>
            <w:noProof/>
            <w:lang w:val="en-US"/>
          </w:rPr>
          <w:t>McGeechan et al., 2008</w:t>
        </w:r>
      </w:hyperlink>
      <w:r w:rsidR="004B61B4">
        <w:rPr>
          <w:noProof/>
          <w:lang w:val="en-US"/>
        </w:rPr>
        <w:t>)</w:t>
      </w:r>
      <w:r w:rsidR="004B61B4">
        <w:rPr>
          <w:lang w:val="en-US"/>
        </w:rPr>
        <w:fldChar w:fldCharType="end"/>
      </w:r>
      <w:r>
        <w:rPr>
          <w:lang w:val="en-US"/>
        </w:rPr>
        <w:t xml:space="preserve">. If the new marker offers no improvement, the points will </w:t>
      </w:r>
      <w:r w:rsidR="003051FA">
        <w:rPr>
          <w:lang w:val="en-US"/>
        </w:rPr>
        <w:t>scatter around the</w:t>
      </w:r>
      <w:r>
        <w:rPr>
          <w:lang w:val="en-US"/>
        </w:rPr>
        <w:t xml:space="preserve"> diagonal lin</w:t>
      </w:r>
      <w:r w:rsidR="00117494">
        <w:rPr>
          <w:lang w:val="en-US"/>
        </w:rPr>
        <w:t xml:space="preserve">e. If the new model is useful, </w:t>
      </w:r>
      <w:r>
        <w:rPr>
          <w:lang w:val="en-US"/>
        </w:rPr>
        <w:t>the predicted probabilities for events will be larger using the new model and hence points denoting events will lie above the diagonal line. Similarly, predicted probabilities for non-events will be smaller using the new model and hence points denoting non-events will lie below the diagonal line. The extent to which a clear separation can be seen helps determine th</w:t>
      </w:r>
      <w:r w:rsidR="00117494">
        <w:rPr>
          <w:lang w:val="en-US"/>
        </w:rPr>
        <w:t xml:space="preserve">e degree of model improvement. </w:t>
      </w:r>
      <w:r w:rsidR="006162D9">
        <w:rPr>
          <w:lang w:val="en-US"/>
        </w:rPr>
        <w:t>A limitation is that</w:t>
      </w:r>
      <w:r>
        <w:rPr>
          <w:lang w:val="en-US"/>
        </w:rPr>
        <w:t xml:space="preserve"> for large data sets, the graphical impression may be difficult to notice with many </w:t>
      </w:r>
      <w:r w:rsidR="003051FA">
        <w:rPr>
          <w:lang w:val="en-US"/>
        </w:rPr>
        <w:t xml:space="preserve">overlapping </w:t>
      </w:r>
      <w:r>
        <w:rPr>
          <w:lang w:val="en-US"/>
        </w:rPr>
        <w:t xml:space="preserve">points </w:t>
      </w:r>
      <w:r w:rsidR="004B61B4">
        <w:rPr>
          <w:lang w:val="en-US"/>
        </w:rPr>
        <w:fldChar w:fldCharType="begin"/>
      </w:r>
      <w:r w:rsidR="004B61B4">
        <w:rPr>
          <w:lang w:val="en-US"/>
        </w:rPr>
        <w:instrText xml:space="preserve"> ADDIN EN.CITE &lt;EndNote&gt;&lt;Cite&gt;&lt;Author&gt;McGeechan&lt;/Author&gt;&lt;Year&gt;2008&lt;/Year&gt;&lt;RecNum&gt;648&lt;/RecNum&gt;&lt;DisplayText&gt;(McGeechan et al., 2008)&lt;/DisplayText&gt;&lt;record&gt;&lt;rec-number&gt;648&lt;/rec-number&gt;&lt;foreign-keys&gt;&lt;key app="EN" db-id="s5at2da0rxdws8ew29spaefwt99szxvvfawz"&gt;648&lt;/key&gt;&lt;/foreign-keys&gt;&lt;ref-type name="Journal Article"&gt;17&lt;/ref-type&gt;&lt;contributors&gt;&lt;authors&gt;&lt;author&gt;McGeechan, K.&lt;/author&gt;&lt;author&gt;Macaskill, P.&lt;/author&gt;&lt;author&gt;Irwig, L.&lt;/author&gt;&lt;author&gt;Liew, G.&lt;/author&gt;&lt;author&gt;Wong, T. Y.&lt;/author&gt;&lt;/authors&gt;&lt;/contributors&gt;&lt;auth-address&gt;Centre for Eye Research Australia, University of Melbourne, 32 Gisborne St, East Melbourne 3002, Australia.&lt;/auth-address&gt;&lt;titles&gt;&lt;title&gt;Assessing new biomarkers and predictive models for use in clinical practice: a clinician&amp;apos;s guide&lt;/title&gt;&lt;secondary-title&gt;Arch Intern Med&lt;/secondary-title&gt;&lt;alt-title&gt;Archives of internal medicine&lt;/alt-title&gt;&lt;/titles&gt;&lt;periodical&gt;&lt;full-title&gt;Arch Intern Med&lt;/full-title&gt;&lt;/periodical&gt;&lt;pages&gt;2304-10&lt;/pages&gt;&lt;volume&gt;168&lt;/volume&gt;&lt;number&gt;21&lt;/number&gt;&lt;keywords&gt;&lt;keyword&gt;Biological Markers/analysis&lt;/keyword&gt;&lt;keyword&gt;Cardiovascular Diseases/classification/*diagnosis/*epidemiology&lt;/keyword&gt;&lt;keyword&gt;Female&lt;/keyword&gt;&lt;keyword&gt;Humans&lt;/keyword&gt;&lt;keyword&gt;Male&lt;/keyword&gt;&lt;keyword&gt;*Models, Statistical&lt;/keyword&gt;&lt;keyword&gt;Prognosis&lt;/keyword&gt;&lt;keyword&gt;Risk Assessment&lt;/keyword&gt;&lt;/keywords&gt;&lt;dates&gt;&lt;year&gt;2008&lt;/year&gt;&lt;pub-dates&gt;&lt;date&gt;Nov 24&lt;/date&gt;&lt;/pub-dates&gt;&lt;/dates&gt;&lt;isbn&gt;1538-3679 (Electronic)&lt;/isbn&gt;&lt;accession-num&gt;19029492&lt;/accession-num&gt;&lt;urls&gt;&lt;related-urls&gt;&lt;url&gt;http://www.ncbi.nlm.nih.gov/entrez/query.fcgi?cmd=Retrieve&amp;amp;db=PubMed&amp;amp;dopt=Citation&amp;amp;list_uids=19029492 &lt;/url&gt;&lt;/related-urls&gt;&lt;/urls&gt;&lt;language&gt;eng&lt;/language&gt;&lt;/record&gt;&lt;/Cite&gt;&lt;/EndNote&gt;</w:instrText>
      </w:r>
      <w:r w:rsidR="004B61B4">
        <w:rPr>
          <w:lang w:val="en-US"/>
        </w:rPr>
        <w:fldChar w:fldCharType="separate"/>
      </w:r>
      <w:r w:rsidR="004B61B4">
        <w:rPr>
          <w:noProof/>
          <w:lang w:val="en-US"/>
        </w:rPr>
        <w:t>(</w:t>
      </w:r>
      <w:hyperlink w:anchor="_ENREF_19" w:tooltip="McGeechan, 2008 #648" w:history="1">
        <w:r w:rsidR="00BF347F">
          <w:rPr>
            <w:noProof/>
            <w:lang w:val="en-US"/>
          </w:rPr>
          <w:t>McGeechan et al., 2008</w:t>
        </w:r>
      </w:hyperlink>
      <w:r w:rsidR="004B61B4">
        <w:rPr>
          <w:noProof/>
          <w:lang w:val="en-US"/>
        </w:rPr>
        <w:t>)</w:t>
      </w:r>
      <w:r w:rsidR="004B61B4">
        <w:rPr>
          <w:lang w:val="en-US"/>
        </w:rPr>
        <w:fldChar w:fldCharType="end"/>
      </w:r>
      <w:r w:rsidR="00791556">
        <w:rPr>
          <w:lang w:val="en-US"/>
        </w:rPr>
        <w:t>.</w:t>
      </w:r>
    </w:p>
    <w:p w:rsidR="00B85B9F" w:rsidRDefault="00B85B9F" w:rsidP="000E11BC">
      <w:pPr>
        <w:spacing w:line="360" w:lineRule="auto"/>
        <w:ind w:firstLine="720"/>
        <w:rPr>
          <w:lang w:val="en-US"/>
        </w:rPr>
      </w:pPr>
      <w:r>
        <w:rPr>
          <w:lang w:val="en-US"/>
        </w:rPr>
        <w:t>This graphical presentation can be summarized using the continuous net reclassification improvement (NRI(&gt;0))</w:t>
      </w:r>
      <w:r w:rsidR="003051FA">
        <w:rPr>
          <w:lang w:val="en-US"/>
        </w:rPr>
        <w:t xml:space="preserve"> </w:t>
      </w:r>
      <w:r w:rsidR="004B61B4">
        <w:rPr>
          <w:lang w:val="en-US"/>
        </w:rPr>
        <w:fldChar w:fldCharType="begin"/>
      </w:r>
      <w:r w:rsidR="004B61B4">
        <w:rPr>
          <w:lang w:val="en-US"/>
        </w:rPr>
        <w:instrText xml:space="preserve"> ADDIN EN.CITE &lt;EndNote&gt;&lt;Cite&gt;&lt;Author&gt;Pencina&lt;/Author&gt;&lt;Year&gt;2011&lt;/Year&gt;&lt;RecNum&gt;760&lt;/RecNum&gt;&lt;DisplayText&gt;(Pencina et al., 2011)&lt;/DisplayText&gt;&lt;record&gt;&lt;rec-number&gt;760&lt;/rec-number&gt;&lt;foreign-keys&gt;&lt;key app="EN" db-id="s5at2da0rxdws8ew29spaefwt99szxvvfawz"&gt;760&lt;/key&gt;&lt;/foreign-keys&gt;&lt;ref-type name="Journal Article"&gt;17&lt;/ref-type&gt;&lt;contributors&gt;&lt;authors&gt;&lt;author&gt;Pencina, M. J.&lt;/author&gt;&lt;author&gt;D&amp;apos;Agostino, R. B., Sr.&lt;/author&gt;&lt;author&gt;Steyerberg, E. W.&lt;/author&gt;&lt;/authors&gt;&lt;/contributors&gt;&lt;auth-address&gt;Department of Biostatistics, Boston University, 801 Massachusetts Ave, Boston, MA 02118, USA. mpencina@bu.edu&lt;/auth-address&gt;&lt;titles&gt;&lt;title&gt;Extensions of net reclassification improvement calculations to measure usefulness of new biomarkers&lt;/title&gt;&lt;secondary-title&gt;Stat Med&lt;/secondary-title&gt;&lt;/titles&gt;&lt;periodical&gt;&lt;full-title&gt;Stat Med&lt;/full-title&gt;&lt;/periodical&gt;&lt;pages&gt;11-21&lt;/pages&gt;&lt;volume&gt;30&lt;/volume&gt;&lt;number&gt;1&lt;/number&gt;&lt;edition&gt;2011/01/05&lt;/edition&gt;&lt;keywords&gt;&lt;keyword&gt;Adult&lt;/keyword&gt;&lt;keyword&gt;Aged&lt;/keyword&gt;&lt;keyword&gt;Biological Markers/*analysis&lt;/keyword&gt;&lt;keyword&gt;Case-Control Studies&lt;/keyword&gt;&lt;keyword&gt;Coronary Disease/epidemiology/metabolism&lt;/keyword&gt;&lt;keyword&gt;Female&lt;/keyword&gt;&lt;keyword&gt;Humans&lt;/keyword&gt;&lt;keyword&gt;Kaplan-Meier Estimate&lt;/keyword&gt;&lt;keyword&gt;Longitudinal Studies&lt;/keyword&gt;&lt;keyword&gt;Male&lt;/keyword&gt;&lt;keyword&gt;Middle Aged&lt;/keyword&gt;&lt;keyword&gt;*Models, Biological&lt;/keyword&gt;&lt;keyword&gt;*Models, Statistical&lt;/keyword&gt;&lt;keyword&gt;Risk Assessment/*methods&lt;/keyword&gt;&lt;/keywords&gt;&lt;dates&gt;&lt;year&gt;2011&lt;/year&gt;&lt;pub-dates&gt;&lt;date&gt;Jan 15&lt;/date&gt;&lt;/pub-dates&gt;&lt;/dates&gt;&lt;isbn&gt;1097-0258 (Electronic)&amp;#xD;0277-6715 (Linking)&lt;/isbn&gt;&lt;accession-num&gt;21204120&lt;/accession-num&gt;&lt;urls&gt;&lt;related-urls&gt;&lt;url&gt;http://www.ncbi.nlm.nih.gov/entrez/query.fcgi?cmd=Retrieve&amp;amp;db=PubMed&amp;amp;dopt=Citation&amp;amp;list_uids=21204120&lt;/url&gt;&lt;/related-urls&gt;&lt;/urls&gt;&lt;electronic-resource-num&gt;10.1002/sim.4085&lt;/electronic-resource-num&gt;&lt;language&gt;eng&lt;/language&gt;&lt;/record&gt;&lt;/Cite&gt;&lt;/EndNote&gt;</w:instrText>
      </w:r>
      <w:r w:rsidR="004B61B4">
        <w:rPr>
          <w:lang w:val="en-US"/>
        </w:rPr>
        <w:fldChar w:fldCharType="separate"/>
      </w:r>
      <w:r w:rsidR="004B61B4">
        <w:rPr>
          <w:noProof/>
          <w:lang w:val="en-US"/>
        </w:rPr>
        <w:t>(</w:t>
      </w:r>
      <w:hyperlink w:anchor="_ENREF_26" w:tooltip="Pencina, 2011 #760" w:history="1">
        <w:r w:rsidR="00BF347F">
          <w:rPr>
            <w:noProof/>
            <w:lang w:val="en-US"/>
          </w:rPr>
          <w:t>Pencina et al., 2011</w:t>
        </w:r>
      </w:hyperlink>
      <w:r w:rsidR="004B61B4">
        <w:rPr>
          <w:noProof/>
          <w:lang w:val="en-US"/>
        </w:rPr>
        <w:t>)</w:t>
      </w:r>
      <w:r w:rsidR="004B61B4">
        <w:rPr>
          <w:lang w:val="en-US"/>
        </w:rPr>
        <w:fldChar w:fldCharType="end"/>
      </w:r>
      <w:r>
        <w:rPr>
          <w:lang w:val="en-US"/>
        </w:rPr>
        <w:t xml:space="preserve">. In </w:t>
      </w:r>
      <w:r w:rsidR="006162D9">
        <w:rPr>
          <w:lang w:val="en-US"/>
        </w:rPr>
        <w:t>Figure 5</w:t>
      </w:r>
      <w:r>
        <w:rPr>
          <w:lang w:val="en-US"/>
        </w:rPr>
        <w:t xml:space="preserve">, 62.3% </w:t>
      </w:r>
      <w:r w:rsidR="006162D9">
        <w:rPr>
          <w:lang w:val="en-US"/>
        </w:rPr>
        <w:t xml:space="preserve">among those with events </w:t>
      </w:r>
      <w:r>
        <w:rPr>
          <w:lang w:val="en-US"/>
        </w:rPr>
        <w:t xml:space="preserve">had a predicted risk with HDL that was higher than the predicted risk without HDL, i.e. a better risk estimate. Conversely, 37.7% had a predicted risk with HDL that was lower than the predicted risk without HDL. The net proportion with better risk estimates (or event NRI(&gt;0)) hence was 24.6%.  Similarly, we note that 52.8% of those without an event had a lower prediction with HDL than without, while 47.2% had a higher prediction (non-event </w:t>
      </w:r>
      <w:r>
        <w:rPr>
          <w:lang w:val="en-US"/>
        </w:rPr>
        <w:lastRenderedPageBreak/>
        <w:t xml:space="preserve">NRI(&gt;0)=5.5%). The total continuous NRI(&gt;0) equals the sum of the two components above, 0.246+0.055 = 0.301. </w:t>
      </w:r>
    </w:p>
    <w:p w:rsidR="00B85B9F" w:rsidRPr="00A250CB" w:rsidRDefault="00F236A5" w:rsidP="00CD481A">
      <w:pPr>
        <w:spacing w:line="360" w:lineRule="auto"/>
        <w:ind w:firstLine="720"/>
        <w:rPr>
          <w:lang w:val="en-US"/>
        </w:rPr>
      </w:pPr>
      <w:r>
        <w:rPr>
          <w:lang w:val="en-US"/>
        </w:rPr>
        <w:t>It has been</w:t>
      </w:r>
      <w:r w:rsidR="00B85B9F">
        <w:rPr>
          <w:lang w:val="en-US"/>
        </w:rPr>
        <w:t xml:space="preserve"> note</w:t>
      </w:r>
      <w:r>
        <w:rPr>
          <w:lang w:val="en-US"/>
        </w:rPr>
        <w:t>d</w:t>
      </w:r>
      <w:r w:rsidR="00B85B9F">
        <w:rPr>
          <w:lang w:val="en-US"/>
        </w:rPr>
        <w:t xml:space="preserve"> that NRI(&gt;0) can be viewed as a measure of effect size of the new predictor in the context of a risk prediction model rather than a difference in performance of two models</w:t>
      </w:r>
      <w:r>
        <w:rPr>
          <w:lang w:val="en-US"/>
        </w:rPr>
        <w:t xml:space="preserve"> </w:t>
      </w:r>
      <w:r w:rsidR="004B61B4">
        <w:rPr>
          <w:lang w:val="en-US"/>
        </w:rPr>
        <w:fldChar w:fldCharType="begin"/>
      </w:r>
      <w:r w:rsidR="004B61B4">
        <w:rPr>
          <w:lang w:val="en-US"/>
        </w:rPr>
        <w:instrText xml:space="preserve"> ADDIN EN.CITE &lt;EndNote&gt;&lt;Cite&gt;&lt;Author&gt;Pencina&lt;/Author&gt;&lt;Year&gt;2012&lt;/Year&gt;&lt;RecNum&gt;31&lt;/RecNum&gt;&lt;DisplayText&gt;(Pencina et al., 2012a)&lt;/DisplayText&gt;&lt;record&gt;&lt;rec-number&gt;31&lt;/rec-number&gt;&lt;foreign-keys&gt;&lt;key app="EN" db-id="rtv2prz2p0ttw3ezv01x0raovvzvd0wfxprr"&gt;31&lt;/key&gt;&lt;/foreign-keys&gt;&lt;ref-type name="Journal Article"&gt;17&lt;/ref-type&gt;&lt;contributors&gt;&lt;authors&gt;&lt;author&gt;Pencina, M. J.&lt;/author&gt;&lt;author&gt;D&amp;apos;Agostino, R. B.&lt;/author&gt;&lt;author&gt;Pencina, K. M.&lt;/author&gt;&lt;author&gt;Janssens, A. C.&lt;/author&gt;&lt;author&gt;Greenland, P.&lt;/author&gt;&lt;/authors&gt;&lt;/contributors&gt;&lt;auth-address&gt;Department of Biostatistics, Boston University, Massachusetts, USA. mpencina@bu.edu&lt;/auth-address&gt;&lt;titles&gt;&lt;title&gt;Interpreting incremental value of markers added to risk prediction models&lt;/title&gt;&lt;secondary-title&gt;Am J Epidemiol&lt;/secondary-title&gt;&lt;/titles&gt;&lt;periodical&gt;&lt;full-title&gt;Am J Epidemiol&lt;/full-title&gt;&lt;/periodical&gt;&lt;pages&gt;473-81&lt;/pages&gt;&lt;volume&gt;176&lt;/volume&gt;&lt;number&gt;6&lt;/number&gt;&lt;edition&gt;2012/08/10&lt;/edition&gt;&lt;keywords&gt;&lt;keyword&gt;Adult&lt;/keyword&gt;&lt;keyword&gt;Aged&lt;/keyword&gt;&lt;keyword&gt;Aged, 80 and over&lt;/keyword&gt;&lt;keyword&gt;Atrial Fibrillation/diagnosis/etiology/metabolism&lt;/keyword&gt;&lt;keyword&gt;Biological Markers/*metabolism&lt;/keyword&gt;&lt;keyword&gt;Computer Simulation&lt;/keyword&gt;&lt;keyword&gt;*Data Interpretation, Statistical&lt;/keyword&gt;&lt;keyword&gt;Humans&lt;/keyword&gt;&lt;keyword&gt;*Logistic Models&lt;/keyword&gt;&lt;keyword&gt;Middle Aged&lt;/keyword&gt;&lt;keyword&gt;Odds Ratio&lt;/keyword&gt;&lt;keyword&gt;Prognosis&lt;/keyword&gt;&lt;keyword&gt;*ROC Curve&lt;/keyword&gt;&lt;keyword&gt;Risk Assessment/*methods/statistics &amp;amp; numerical data&lt;/keyword&gt;&lt;keyword&gt;Risk Factors&lt;/keyword&gt;&lt;/keywords&gt;&lt;dates&gt;&lt;year&gt;2012&lt;/year&gt;&lt;pub-dates&gt;&lt;date&gt;Sep 15&lt;/date&gt;&lt;/pub-dates&gt;&lt;/dates&gt;&lt;isbn&gt;1476-6256 (Electronic)&amp;#xD;0002-9262 (Linking)&lt;/isbn&gt;&lt;accession-num&gt;22875755&lt;/accession-num&gt;&lt;urls&gt;&lt;related-urls&gt;&lt;url&gt;http://www.ncbi.nlm.nih.gov/pubmed/22875755&lt;/url&gt;&lt;/related-urls&gt;&lt;/urls&gt;&lt;custom2&gt;3530349&lt;/custom2&gt;&lt;electronic-resource-num&gt;kws207 [pii]&amp;#xD;10.1093/aje/kws207&lt;/electronic-resource-num&gt;&lt;language&gt;eng&lt;/language&gt;&lt;/record&gt;&lt;/Cite&gt;&lt;/EndNote&gt;</w:instrText>
      </w:r>
      <w:r w:rsidR="004B61B4">
        <w:rPr>
          <w:lang w:val="en-US"/>
        </w:rPr>
        <w:fldChar w:fldCharType="separate"/>
      </w:r>
      <w:r w:rsidR="004B61B4">
        <w:rPr>
          <w:noProof/>
          <w:lang w:val="en-US"/>
        </w:rPr>
        <w:t>(</w:t>
      </w:r>
      <w:hyperlink w:anchor="_ENREF_23" w:tooltip="Pencina, 2012 #31" w:history="1">
        <w:r w:rsidR="00BF347F">
          <w:rPr>
            <w:noProof/>
            <w:lang w:val="en-US"/>
          </w:rPr>
          <w:t>Pencina et al., 2012a</w:t>
        </w:r>
      </w:hyperlink>
      <w:r w:rsidR="004B61B4">
        <w:rPr>
          <w:noProof/>
          <w:lang w:val="en-US"/>
        </w:rPr>
        <w:t>)</w:t>
      </w:r>
      <w:r w:rsidR="004B61B4">
        <w:rPr>
          <w:lang w:val="en-US"/>
        </w:rPr>
        <w:fldChar w:fldCharType="end"/>
      </w:r>
      <w:r w:rsidR="00B85B9F">
        <w:rPr>
          <w:lang w:val="en-US"/>
        </w:rPr>
        <w:t>. A feature of NRI(&gt;0) is that it is only weakly related to the performance of the reference model. Under normality, in case of an independent predictor added to the risk prediction model, it is the same no matter how good or bad the reference model is</w:t>
      </w:r>
      <w:r w:rsidR="00303B30">
        <w:rPr>
          <w:lang w:val="en-US"/>
        </w:rPr>
        <w:t xml:space="preserve"> </w:t>
      </w:r>
      <w:r w:rsidR="004B61B4">
        <w:rPr>
          <w:lang w:val="en-US"/>
        </w:rPr>
        <w:fldChar w:fldCharType="begin"/>
      </w:r>
      <w:r w:rsidR="004B61B4">
        <w:rPr>
          <w:lang w:val="en-US"/>
        </w:rPr>
        <w:instrText xml:space="preserve"> ADDIN EN.CITE &lt;EndNote&gt;&lt;Cite&gt;&lt;Author&gt;Pencina&lt;/Author&gt;&lt;Year&gt;2012&lt;/Year&gt;&lt;RecNum&gt;31&lt;/RecNum&gt;&lt;DisplayText&gt;(Pencina et al., 2012a)&lt;/DisplayText&gt;&lt;record&gt;&lt;rec-number&gt;31&lt;/rec-number&gt;&lt;foreign-keys&gt;&lt;key app="EN" db-id="rtv2prz2p0ttw3ezv01x0raovvzvd0wfxprr"&gt;31&lt;/key&gt;&lt;/foreign-keys&gt;&lt;ref-type name="Journal Article"&gt;17&lt;/ref-type&gt;&lt;contributors&gt;&lt;authors&gt;&lt;author&gt;Pencina, M. J.&lt;/author&gt;&lt;author&gt;D&amp;apos;Agostino, R. B.&lt;/author&gt;&lt;author&gt;Pencina, K. M.&lt;/author&gt;&lt;author&gt;Janssens, A. C.&lt;/author&gt;&lt;author&gt;Greenland, P.&lt;/author&gt;&lt;/authors&gt;&lt;/contributors&gt;&lt;auth-address&gt;Department of Biostatistics, Boston University, Massachusetts, USA. mpencina@bu.edu&lt;/auth-address&gt;&lt;titles&gt;&lt;title&gt;Interpreting incremental value of markers added to risk prediction models&lt;/title&gt;&lt;secondary-title&gt;Am J Epidemiol&lt;/secondary-title&gt;&lt;/titles&gt;&lt;periodical&gt;&lt;full-title&gt;Am J Epidemiol&lt;/full-title&gt;&lt;/periodical&gt;&lt;pages&gt;473-81&lt;/pages&gt;&lt;volume&gt;176&lt;/volume&gt;&lt;number&gt;6&lt;/number&gt;&lt;edition&gt;2012/08/10&lt;/edition&gt;&lt;keywords&gt;&lt;keyword&gt;Adult&lt;/keyword&gt;&lt;keyword&gt;Aged&lt;/keyword&gt;&lt;keyword&gt;Aged, 80 and over&lt;/keyword&gt;&lt;keyword&gt;Atrial Fibrillation/diagnosis/etiology/metabolism&lt;/keyword&gt;&lt;keyword&gt;Biological Markers/*metabolism&lt;/keyword&gt;&lt;keyword&gt;Computer Simulation&lt;/keyword&gt;&lt;keyword&gt;*Data Interpretation, Statistical&lt;/keyword&gt;&lt;keyword&gt;Humans&lt;/keyword&gt;&lt;keyword&gt;*Logistic Models&lt;/keyword&gt;&lt;keyword&gt;Middle Aged&lt;/keyword&gt;&lt;keyword&gt;Odds Ratio&lt;/keyword&gt;&lt;keyword&gt;Prognosis&lt;/keyword&gt;&lt;keyword&gt;*ROC Curve&lt;/keyword&gt;&lt;keyword&gt;Risk Assessment/*methods/statistics &amp;amp; numerical data&lt;/keyword&gt;&lt;keyword&gt;Risk Factors&lt;/keyword&gt;&lt;/keywords&gt;&lt;dates&gt;&lt;year&gt;2012&lt;/year&gt;&lt;pub-dates&gt;&lt;date&gt;Sep 15&lt;/date&gt;&lt;/pub-dates&gt;&lt;/dates&gt;&lt;isbn&gt;1476-6256 (Electronic)&amp;#xD;0002-9262 (Linking)&lt;/isbn&gt;&lt;accession-num&gt;22875755&lt;/accession-num&gt;&lt;urls&gt;&lt;related-urls&gt;&lt;url&gt;http://www.ncbi.nlm.nih.gov/pubmed/22875755&lt;/url&gt;&lt;/related-urls&gt;&lt;/urls&gt;&lt;custom2&gt;3530349&lt;/custom2&gt;&lt;electronic-resource-num&gt;kws207 [pii]&amp;#xD;10.1093/aje/kws207&lt;/electronic-resource-num&gt;&lt;language&gt;eng&lt;/language&gt;&lt;/record&gt;&lt;/Cite&gt;&lt;/EndNote&gt;</w:instrText>
      </w:r>
      <w:r w:rsidR="004B61B4">
        <w:rPr>
          <w:lang w:val="en-US"/>
        </w:rPr>
        <w:fldChar w:fldCharType="separate"/>
      </w:r>
      <w:r w:rsidR="004B61B4">
        <w:rPr>
          <w:noProof/>
          <w:lang w:val="en-US"/>
        </w:rPr>
        <w:t>(</w:t>
      </w:r>
      <w:hyperlink w:anchor="_ENREF_23" w:tooltip="Pencina, 2012 #31" w:history="1">
        <w:r w:rsidR="00BF347F">
          <w:rPr>
            <w:noProof/>
            <w:lang w:val="en-US"/>
          </w:rPr>
          <w:t>Pencina et al., 2012a</w:t>
        </w:r>
      </w:hyperlink>
      <w:r w:rsidR="004B61B4">
        <w:rPr>
          <w:noProof/>
          <w:lang w:val="en-US"/>
        </w:rPr>
        <w:t>)</w:t>
      </w:r>
      <w:r w:rsidR="004B61B4">
        <w:rPr>
          <w:lang w:val="en-US"/>
        </w:rPr>
        <w:fldChar w:fldCharType="end"/>
      </w:r>
      <w:r w:rsidR="00AD197F">
        <w:rPr>
          <w:lang w:val="en-US"/>
        </w:rPr>
        <w:t>.</w:t>
      </w:r>
      <w:r w:rsidR="00B85B9F" w:rsidRPr="00A250CB">
        <w:rPr>
          <w:lang w:val="en-US"/>
        </w:rPr>
        <w:t xml:space="preserve"> </w:t>
      </w:r>
      <w:r w:rsidR="00B85B9F">
        <w:rPr>
          <w:lang w:val="en-US"/>
        </w:rPr>
        <w:t xml:space="preserve">Finally, it is important to note that the NRI(&gt;0) considers any </w:t>
      </w:r>
      <w:r w:rsidR="00BF347F">
        <w:rPr>
          <w:lang w:val="en-US"/>
        </w:rPr>
        <w:t>change in predicted risk,</w:t>
      </w:r>
      <w:r w:rsidR="00B85B9F">
        <w:rPr>
          <w:lang w:val="en-US"/>
        </w:rPr>
        <w:t xml:space="preserve"> irrespective of the magnitude. The size of </w:t>
      </w:r>
      <w:r w:rsidR="00BF347F">
        <w:rPr>
          <w:lang w:val="en-US"/>
        </w:rPr>
        <w:t xml:space="preserve">the risk difference </w:t>
      </w:r>
      <w:r w:rsidR="00B85B9F">
        <w:rPr>
          <w:lang w:val="en-US"/>
        </w:rPr>
        <w:t>is considered in measures such as the IDI</w:t>
      </w:r>
      <w:r w:rsidR="00AD197F">
        <w:rPr>
          <w:lang w:val="en-US"/>
        </w:rPr>
        <w:t xml:space="preserve"> </w:t>
      </w:r>
      <w:r w:rsidR="004B61B4">
        <w:rPr>
          <w:lang w:val="en-US"/>
        </w:rPr>
        <w:fldChar w:fldCharType="begin"/>
      </w:r>
      <w:r w:rsidR="004B61B4">
        <w:rPr>
          <w:lang w:val="en-US"/>
        </w:rPr>
        <w:instrText xml:space="preserve"> ADDIN EN.CITE &lt;EndNote&gt;&lt;Cite&gt;&lt;Author&gt;Pencina&lt;/Author&gt;&lt;Year&gt;2008&lt;/Year&gt;&lt;RecNum&gt;573&lt;/RecNum&gt;&lt;DisplayText&gt;(Pencina et al., 2008)&lt;/DisplayText&gt;&lt;record&gt;&lt;rec-number&gt;573&lt;/rec-number&gt;&lt;foreign-keys&gt;&lt;key app="EN" db-id="s5at2da0rxdws8ew29spaefwt99szxvvfawz"&gt;573&lt;/key&gt;&lt;/foreign-keys&gt;&lt;ref-type name="Journal Article"&gt;17&lt;/ref-type&gt;&lt;contributors&gt;&lt;authors&gt;&lt;author&gt;Pencina, M. J.&lt;/author&gt;&lt;author&gt;D&amp;apos;Agostino, R. B., Sr.&lt;/author&gt;&lt;author&gt;D&amp;apos;Agostino, R. B., Jr.&lt;/author&gt;&lt;author&gt;Vasan, R. S.&lt;/author&gt;&lt;/authors&gt;&lt;/contributors&gt;&lt;auth-address&gt;Department of Mathematics and Statistics, Framingham Heart Study, Boston University, Boston, MA 02215, USA. mpencina@bu.edu&lt;/auth-address&gt;&lt;titles&gt;&lt;title&gt;Evaluating the added predictive ability of a new marker: from area under the ROC curve to reclassification and beyond&lt;/title&gt;&lt;secondary-title&gt;Stat Med&lt;/secondary-title&gt;&lt;alt-title&gt;Statistics in medicine&lt;/alt-title&gt;&lt;/titles&gt;&lt;periodical&gt;&lt;full-title&gt;Stat Med&lt;/full-title&gt;&lt;/periodical&gt;&lt;pages&gt;157-72; discussion 207-12&lt;/pages&gt;&lt;volume&gt;27&lt;/volume&gt;&lt;number&gt;2&lt;/number&gt;&lt;dates&gt;&lt;year&gt;2008&lt;/year&gt;&lt;pub-dates&gt;&lt;date&gt;Jan 30&lt;/date&gt;&lt;/pub-dates&gt;&lt;/dates&gt;&lt;isbn&gt;0277-6715 (Print)&lt;/isbn&gt;&lt;accession-num&gt;17569110&lt;/accession-num&gt;&lt;urls&gt;&lt;related-urls&gt;&lt;url&gt;http://www.ncbi.nlm.nih.gov/entrez/query.fcgi?cmd=Retrieve&amp;amp;db=PubMed&amp;amp;dopt=Citation&amp;amp;list_uids=17569110 &lt;/url&gt;&lt;/related-urls&gt;&lt;/urls&gt;&lt;language&gt;eng&lt;/language&gt;&lt;/record&gt;&lt;/Cite&gt;&lt;/EndNote&gt;</w:instrText>
      </w:r>
      <w:r w:rsidR="004B61B4">
        <w:rPr>
          <w:lang w:val="en-US"/>
        </w:rPr>
        <w:fldChar w:fldCharType="separate"/>
      </w:r>
      <w:r w:rsidR="004B61B4">
        <w:rPr>
          <w:noProof/>
          <w:lang w:val="en-US"/>
        </w:rPr>
        <w:t>(</w:t>
      </w:r>
      <w:hyperlink w:anchor="_ENREF_24" w:tooltip="Pencina, 2008 #573" w:history="1">
        <w:r w:rsidR="00BF347F">
          <w:rPr>
            <w:noProof/>
            <w:lang w:val="en-US"/>
          </w:rPr>
          <w:t>Pencina et al., 2008</w:t>
        </w:r>
      </w:hyperlink>
      <w:r w:rsidR="004B61B4">
        <w:rPr>
          <w:noProof/>
          <w:lang w:val="en-US"/>
        </w:rPr>
        <w:t>)</w:t>
      </w:r>
      <w:r w:rsidR="004B61B4">
        <w:rPr>
          <w:lang w:val="en-US"/>
        </w:rPr>
        <w:fldChar w:fldCharType="end"/>
      </w:r>
      <w:r w:rsidR="00B85B9F">
        <w:rPr>
          <w:lang w:val="en-US"/>
        </w:rPr>
        <w:t>.</w:t>
      </w:r>
    </w:p>
    <w:p w:rsidR="00B85B9F" w:rsidRPr="00A250CB" w:rsidRDefault="00B85B9F" w:rsidP="00351E97">
      <w:pPr>
        <w:spacing w:line="360" w:lineRule="auto"/>
        <w:rPr>
          <w:lang w:val="en-US"/>
        </w:rPr>
      </w:pPr>
    </w:p>
    <w:p w:rsidR="00B85B9F" w:rsidRPr="00A250CB" w:rsidRDefault="00B85B9F" w:rsidP="001A74DD">
      <w:pPr>
        <w:spacing w:line="360" w:lineRule="auto"/>
        <w:rPr>
          <w:b/>
          <w:lang w:val="en-US"/>
        </w:rPr>
      </w:pPr>
      <w:r w:rsidRPr="00A250CB">
        <w:rPr>
          <w:b/>
          <w:lang w:val="en-US"/>
        </w:rPr>
        <w:t>Performance measures related to binary classification</w:t>
      </w:r>
    </w:p>
    <w:p w:rsidR="00B85B9F" w:rsidRPr="00A250CB" w:rsidRDefault="00B85B9F" w:rsidP="00351E97">
      <w:pPr>
        <w:spacing w:line="360" w:lineRule="auto"/>
        <w:rPr>
          <w:i/>
          <w:lang w:val="en-US"/>
        </w:rPr>
      </w:pPr>
      <w:r w:rsidRPr="00A250CB">
        <w:rPr>
          <w:i/>
          <w:lang w:val="en-US"/>
        </w:rPr>
        <w:t>Sensitivity and specificity</w:t>
      </w:r>
    </w:p>
    <w:p w:rsidR="00B85B9F" w:rsidRDefault="00B85B9F" w:rsidP="00351E97">
      <w:pPr>
        <w:spacing w:line="360" w:lineRule="auto"/>
        <w:rPr>
          <w:lang w:val="en-US"/>
        </w:rPr>
      </w:pPr>
      <w:r w:rsidRPr="00A250CB">
        <w:rPr>
          <w:lang w:val="en-US"/>
        </w:rPr>
        <w:t>When we focus on one particular decision threshold, such as 20% risk</w:t>
      </w:r>
      <w:r>
        <w:rPr>
          <w:lang w:val="en-US"/>
        </w:rPr>
        <w:t xml:space="preserve"> of CHD</w:t>
      </w:r>
      <w:r w:rsidRPr="00A250CB">
        <w:rPr>
          <w:lang w:val="en-US"/>
        </w:rPr>
        <w:t>, the changes in sensitivity and specificity are central to quantify the incremental value of a marker</w:t>
      </w:r>
      <w:r w:rsidR="00303B30">
        <w:rPr>
          <w:lang w:val="en-US"/>
        </w:rPr>
        <w:t xml:space="preserve"> </w:t>
      </w:r>
      <w:r w:rsidR="004B61B4">
        <w:rPr>
          <w:lang w:val="en-US"/>
        </w:rPr>
        <w:fldChar w:fldCharType="begin"/>
      </w:r>
      <w:r w:rsidR="004B61B4">
        <w:rPr>
          <w:lang w:val="en-US"/>
        </w:rPr>
        <w:instrText xml:space="preserve"> ADDIN EN.CITE &lt;EndNote&gt;&lt;Cite&gt;&lt;Author&gt;Van Calster&lt;/Author&gt;&lt;Year&gt;2013&lt;/Year&gt;&lt;RecNum&gt;877&lt;/RecNum&gt;&lt;DisplayText&gt;(Van Calster et al., 2013)&lt;/DisplayText&gt;&lt;record&gt;&lt;rec-number&gt;877&lt;/rec-number&gt;&lt;foreign-keys&gt;&lt;key app="EN" db-id="s5at2da0rxdws8ew29spaefwt99szxvvfawz"&gt;877&lt;/key&gt;&lt;/foreign-keys&gt;&lt;ref-type name="Journal Article"&gt;17&lt;/ref-type&gt;&lt;contributors&gt;&lt;authors&gt;&lt;author&gt;Van Calster, B.&lt;/author&gt;&lt;author&gt;Vickers, A. J.&lt;/author&gt;&lt;author&gt;Pencina, M. J.&lt;/author&gt;&lt;author&gt;Baker, S. G.&lt;/author&gt;&lt;author&gt;Timmerman, D.&lt;/author&gt;&lt;author&gt;Steyerberg, E. W.&lt;/author&gt;&lt;/authors&gt;&lt;/contributors&gt;&lt;auth-address&gt;Department of Development and Regeneration, KU Leuven-University of Leuven, Leuven, Belgium. ben.vancalster@med.kuleuven.be&lt;/auth-address&gt;&lt;titles&gt;&lt;title&gt;Evaluation of markers and risk prediction models: overview of relationships between NRI and decision-analytic measures&lt;/title&gt;&lt;secondary-title&gt;Med Decis Making&lt;/secondary-title&gt;&lt;/titles&gt;&lt;periodical&gt;&lt;full-title&gt;Med Decis Making&lt;/full-title&gt;&lt;/periodical&gt;&lt;pages&gt;490-501&lt;/pages&gt;&lt;volume&gt;33&lt;/volume&gt;&lt;number&gt;4&lt;/number&gt;&lt;edition&gt;2013/01/15&lt;/edition&gt;&lt;keywords&gt;&lt;keyword&gt;Calibration&lt;/keyword&gt;&lt;keyword&gt;*Decision Support Techniques&lt;/keyword&gt;&lt;keyword&gt;Female&lt;/keyword&gt;&lt;keyword&gt;Humans&lt;/keyword&gt;&lt;keyword&gt;*Models, Theoretical&lt;/keyword&gt;&lt;keyword&gt;Ovarian Neoplasms/diagnosis&lt;/keyword&gt;&lt;keyword&gt;ROC Curve&lt;/keyword&gt;&lt;keyword&gt;Risk&lt;/keyword&gt;&lt;keyword&gt;Tumor Markers, Biological/blood&lt;/keyword&gt;&lt;/keywords&gt;&lt;dates&gt;&lt;year&gt;2013&lt;/year&gt;&lt;pub-dates&gt;&lt;date&gt;May&lt;/date&gt;&lt;/pub-dates&gt;&lt;/dates&gt;&lt;isbn&gt;1552-681X (Electronic)&amp;#xD;0272-989X (Linking)&lt;/isbn&gt;&lt;accession-num&gt;23313931&lt;/accession-num&gt;&lt;urls&gt;&lt;related-urls&gt;&lt;url&gt;http://www.ncbi.nlm.nih.gov/pubmed/23313931&lt;/url&gt;&lt;/related-urls&gt;&lt;/urls&gt;&lt;electronic-resource-num&gt;0272989X12470757 [pii]&amp;#xD;10.1177/0272989X12470757&lt;/electronic-resource-num&gt;&lt;language&gt;eng&lt;/language&gt;&lt;/record&gt;&lt;/Cite&gt;&lt;/EndNote&gt;</w:instrText>
      </w:r>
      <w:r w:rsidR="004B61B4">
        <w:rPr>
          <w:lang w:val="en-US"/>
        </w:rPr>
        <w:fldChar w:fldCharType="separate"/>
      </w:r>
      <w:r w:rsidR="004B61B4">
        <w:rPr>
          <w:noProof/>
          <w:lang w:val="en-US"/>
        </w:rPr>
        <w:t>(</w:t>
      </w:r>
      <w:hyperlink w:anchor="_ENREF_40" w:tooltip="Van Calster, 2013 #877" w:history="1">
        <w:r w:rsidR="00BF347F">
          <w:rPr>
            <w:noProof/>
            <w:lang w:val="en-US"/>
          </w:rPr>
          <w:t>Van Calster et al., 2013</w:t>
        </w:r>
      </w:hyperlink>
      <w:r w:rsidR="004B61B4">
        <w:rPr>
          <w:noProof/>
          <w:lang w:val="en-US"/>
        </w:rPr>
        <w:t>)</w:t>
      </w:r>
      <w:r w:rsidR="004B61B4">
        <w:rPr>
          <w:lang w:val="en-US"/>
        </w:rPr>
        <w:fldChar w:fldCharType="end"/>
      </w:r>
      <w:r w:rsidR="00AD197F">
        <w:rPr>
          <w:lang w:val="en-US"/>
        </w:rPr>
        <w:t>.</w:t>
      </w:r>
      <w:r w:rsidR="00303B30">
        <w:rPr>
          <w:lang w:val="en-US"/>
        </w:rPr>
        <w:t xml:space="preserve"> </w:t>
      </w:r>
      <w:r>
        <w:rPr>
          <w:lang w:val="en-US"/>
        </w:rPr>
        <w:t>As a first option for graphical display, w</w:t>
      </w:r>
      <w:r w:rsidRPr="00A250CB">
        <w:rPr>
          <w:lang w:val="en-US"/>
        </w:rPr>
        <w:t xml:space="preserve">e indicated the 20% risk threshold in the </w:t>
      </w:r>
      <w:proofErr w:type="spellStart"/>
      <w:r w:rsidR="006162D9">
        <w:rPr>
          <w:lang w:val="en-US"/>
        </w:rPr>
        <w:t>predictiveness</w:t>
      </w:r>
      <w:proofErr w:type="spellEnd"/>
      <w:r w:rsidR="006162D9">
        <w:rPr>
          <w:lang w:val="en-US"/>
        </w:rPr>
        <w:t xml:space="preserve"> and </w:t>
      </w:r>
      <w:r w:rsidRPr="00A250CB">
        <w:rPr>
          <w:lang w:val="en-US"/>
        </w:rPr>
        <w:t>ROC curve</w:t>
      </w:r>
      <w:r w:rsidR="006162D9">
        <w:rPr>
          <w:lang w:val="en-US"/>
        </w:rPr>
        <w:t>s</w:t>
      </w:r>
      <w:r w:rsidRPr="00A250CB">
        <w:rPr>
          <w:lang w:val="en-US"/>
        </w:rPr>
        <w:t xml:space="preserve"> (Fig 3</w:t>
      </w:r>
      <w:r w:rsidR="006162D9" w:rsidRPr="006162D9">
        <w:rPr>
          <w:lang w:val="en-US"/>
        </w:rPr>
        <w:t xml:space="preserve"> </w:t>
      </w:r>
      <w:r w:rsidR="006162D9">
        <w:rPr>
          <w:lang w:val="en-US"/>
        </w:rPr>
        <w:t>and 4</w:t>
      </w:r>
      <w:r w:rsidRPr="00A250CB">
        <w:rPr>
          <w:lang w:val="en-US"/>
        </w:rPr>
        <w:t>)</w:t>
      </w:r>
      <w:r>
        <w:rPr>
          <w:lang w:val="en-US"/>
        </w:rPr>
        <w:t>. At the 20% threshold</w:t>
      </w:r>
      <w:r w:rsidRPr="00A250CB">
        <w:rPr>
          <w:lang w:val="en-US"/>
        </w:rPr>
        <w:t>, the sensitivity increased from 13.1% to 19.1%, and specificity decreased from 96.8% to 96.7%</w:t>
      </w:r>
      <w:r>
        <w:rPr>
          <w:lang w:val="en-US"/>
        </w:rPr>
        <w:t xml:space="preserve"> with the addition of HDL cholesterol to the model</w:t>
      </w:r>
      <w:r w:rsidR="006162D9">
        <w:rPr>
          <w:lang w:val="en-US"/>
        </w:rPr>
        <w:t>.</w:t>
      </w:r>
      <w:r w:rsidR="00F236A5">
        <w:rPr>
          <w:lang w:val="en-US"/>
        </w:rPr>
        <w:t xml:space="preserve"> The increase in sensitivity and decrease in specificity is in line with theoretical expectations, since the decision threshold was higher than the event rate </w:t>
      </w:r>
      <w:r w:rsidR="004B61B4">
        <w:rPr>
          <w:lang w:val="en-US"/>
        </w:rPr>
        <w:fldChar w:fldCharType="begin"/>
      </w:r>
      <w:r w:rsidR="004B61B4">
        <w:rPr>
          <w:lang w:val="en-US"/>
        </w:rPr>
        <w:instrText xml:space="preserve"> ADDIN EN.CITE &lt;EndNote&gt;&lt;Cite&gt;&lt;Author&gt;Van Calster&lt;/Author&gt;&lt;Year&gt;2014&lt;/Year&gt;&lt;RecNum&gt;893&lt;/RecNum&gt;&lt;DisplayText&gt;(Van Calster et al., 2014)&lt;/DisplayText&gt;&lt;record&gt;&lt;rec-number&gt;893&lt;/rec-number&gt;&lt;foreign-keys&gt;&lt;key app="EN" db-id="s5at2da0rxdws8ew29spaefwt99szxvvfawz"&gt;893&lt;/key&gt;&lt;/foreign-keys&gt;&lt;ref-type name="Journal Article"&gt;17&lt;/ref-type&gt;&lt;contributors&gt;&lt;authors&gt;&lt;author&gt;Van Calster, B.&lt;/author&gt;&lt;author&gt;Steyerberg, E. W.&lt;/author&gt;&lt;author&gt;D&amp;apos;Agostino, R. B., Sr.&lt;/author&gt;&lt;author&gt;Pencina, M. J.&lt;/author&gt;&lt;/authors&gt;&lt;/contributors&gt;&lt;auth-address&gt;KU Leuven Department of Development and Regeneration, Leuven, Belgium (BVC).&lt;/auth-address&gt;&lt;titles&gt;&lt;title&gt;Sensitivity and specificity can change in opposite directions when new predictive markers are added to risk models&lt;/title&gt;&lt;secondary-title&gt;Med Decis Making&lt;/secondary-title&gt;&lt;alt-title&gt;Medical decision making : an international journal of the Society for Medical Decision Making&lt;/alt-title&gt;&lt;/titles&gt;&lt;periodical&gt;&lt;full-title&gt;Med Decis Making&lt;/full-title&gt;&lt;/periodical&gt;&lt;pages&gt;513-22&lt;/pages&gt;&lt;volume&gt;34&lt;/volume&gt;&lt;number&gt;4&lt;/number&gt;&lt;dates&gt;&lt;year&gt;2014&lt;/year&gt;&lt;pub-dates&gt;&lt;date&gt;May&lt;/date&gt;&lt;/pub-dates&gt;&lt;/dates&gt;&lt;isbn&gt;1552-681X (Electronic)&amp;#xD;0272-989X (Linking)&lt;/isbn&gt;&lt;accession-num&gt;24378915&lt;/accession-num&gt;&lt;urls&gt;&lt;related-urls&gt;&lt;url&gt;http://www.ncbi.nlm.nih.gov/pubmed/24378915&lt;/url&gt;&lt;/related-urls&gt;&lt;/urls&gt;&lt;electronic-resource-num&gt;10.1177/0272989X13513654&lt;/electronic-resource-num&gt;&lt;/record&gt;&lt;/Cite&gt;&lt;/EndNote&gt;</w:instrText>
      </w:r>
      <w:r w:rsidR="004B61B4">
        <w:rPr>
          <w:lang w:val="en-US"/>
        </w:rPr>
        <w:fldChar w:fldCharType="separate"/>
      </w:r>
      <w:r w:rsidR="004B61B4">
        <w:rPr>
          <w:noProof/>
          <w:lang w:val="en-US"/>
        </w:rPr>
        <w:t>(</w:t>
      </w:r>
      <w:hyperlink w:anchor="_ENREF_39" w:tooltip="Van Calster, 2014 #893" w:history="1">
        <w:r w:rsidR="00BF347F">
          <w:rPr>
            <w:noProof/>
            <w:lang w:val="en-US"/>
          </w:rPr>
          <w:t>Van Calster et al., 2014</w:t>
        </w:r>
      </w:hyperlink>
      <w:r w:rsidR="004B61B4">
        <w:rPr>
          <w:noProof/>
          <w:lang w:val="en-US"/>
        </w:rPr>
        <w:t>)</w:t>
      </w:r>
      <w:r w:rsidR="004B61B4">
        <w:rPr>
          <w:lang w:val="en-US"/>
        </w:rPr>
        <w:fldChar w:fldCharType="end"/>
      </w:r>
      <w:r w:rsidR="004D25CC">
        <w:rPr>
          <w:lang w:val="en-US"/>
        </w:rPr>
        <w:t>.</w:t>
      </w:r>
    </w:p>
    <w:p w:rsidR="00B85B9F" w:rsidRDefault="00B85B9F" w:rsidP="00351E97">
      <w:pPr>
        <w:spacing w:line="360" w:lineRule="auto"/>
        <w:rPr>
          <w:lang w:val="en-US"/>
        </w:rPr>
      </w:pPr>
    </w:p>
    <w:p w:rsidR="00B85B9F" w:rsidRPr="00A250CB" w:rsidRDefault="00B85B9F" w:rsidP="00F22177">
      <w:pPr>
        <w:spacing w:line="360" w:lineRule="auto"/>
        <w:rPr>
          <w:i/>
          <w:lang w:val="en-US"/>
        </w:rPr>
      </w:pPr>
      <w:r w:rsidRPr="00A250CB">
        <w:rPr>
          <w:i/>
          <w:lang w:val="en-US"/>
        </w:rPr>
        <w:t>Net Reclassification Risk graph</w:t>
      </w:r>
    </w:p>
    <w:p w:rsidR="00B85B9F" w:rsidRDefault="00B85B9F" w:rsidP="00F22177">
      <w:pPr>
        <w:spacing w:line="360" w:lineRule="auto"/>
        <w:rPr>
          <w:lang w:val="en-US"/>
        </w:rPr>
      </w:pPr>
      <w:r w:rsidRPr="00A250CB">
        <w:rPr>
          <w:lang w:val="en-US"/>
        </w:rPr>
        <w:t xml:space="preserve">For </w:t>
      </w:r>
      <w:r>
        <w:rPr>
          <w:lang w:val="en-US"/>
        </w:rPr>
        <w:t>a direct</w:t>
      </w:r>
      <w:r w:rsidRPr="00A250CB">
        <w:rPr>
          <w:lang w:val="en-US"/>
        </w:rPr>
        <w:t xml:space="preserve"> understanding of </w:t>
      </w:r>
      <w:r>
        <w:rPr>
          <w:lang w:val="en-US"/>
        </w:rPr>
        <w:t xml:space="preserve">the </w:t>
      </w:r>
      <w:r w:rsidR="006162D9">
        <w:rPr>
          <w:lang w:val="en-US"/>
        </w:rPr>
        <w:t xml:space="preserve">clinical </w:t>
      </w:r>
      <w:r>
        <w:rPr>
          <w:lang w:val="en-US"/>
        </w:rPr>
        <w:t>usefulness of a marker at a specific decision threshold</w:t>
      </w:r>
      <w:r w:rsidRPr="00A250CB">
        <w:rPr>
          <w:lang w:val="en-US"/>
        </w:rPr>
        <w:t>, we propose a “Net Reclassification Risk” graph</w:t>
      </w:r>
      <w:r w:rsidR="006162D9">
        <w:rPr>
          <w:lang w:val="en-US"/>
        </w:rPr>
        <w:t>. This graph</w:t>
      </w:r>
      <w:r w:rsidRPr="00A250CB">
        <w:rPr>
          <w:lang w:val="en-US"/>
        </w:rPr>
        <w:t xml:space="preserve"> allows us to focus on the number of reclassified </w:t>
      </w:r>
      <w:r>
        <w:rPr>
          <w:lang w:val="en-US"/>
        </w:rPr>
        <w:t>individuals</w:t>
      </w:r>
      <w:r w:rsidRPr="00A250CB">
        <w:rPr>
          <w:lang w:val="en-US"/>
        </w:rPr>
        <w:t xml:space="preserve"> and their </w:t>
      </w:r>
      <w:r>
        <w:rPr>
          <w:lang w:val="en-US"/>
        </w:rPr>
        <w:t xml:space="preserve">observed </w:t>
      </w:r>
      <w:r w:rsidRPr="00A250CB">
        <w:rPr>
          <w:lang w:val="en-US"/>
        </w:rPr>
        <w:t>event rates. The components for this graph are identical to what is used in a reclassification table. In a reclassification table</w:t>
      </w:r>
      <w:r>
        <w:rPr>
          <w:lang w:val="en-US"/>
        </w:rPr>
        <w:t xml:space="preserve"> (Table 2)</w:t>
      </w:r>
      <w:r w:rsidRPr="00A250CB">
        <w:rPr>
          <w:lang w:val="en-US"/>
        </w:rPr>
        <w:t>, we stratify by event status to calculate net improvements for those with a</w:t>
      </w:r>
      <w:r>
        <w:rPr>
          <w:lang w:val="en-US"/>
        </w:rPr>
        <w:t>nd</w:t>
      </w:r>
      <w:r w:rsidRPr="00A250CB">
        <w:rPr>
          <w:lang w:val="en-US"/>
        </w:rPr>
        <w:t xml:space="preserve"> without events. </w:t>
      </w:r>
      <w:r>
        <w:rPr>
          <w:lang w:val="en-US"/>
        </w:rPr>
        <w:t>Alternatively, w</w:t>
      </w:r>
      <w:r w:rsidRPr="00A250CB">
        <w:rPr>
          <w:lang w:val="en-US"/>
        </w:rPr>
        <w:t xml:space="preserve">e </w:t>
      </w:r>
      <w:r>
        <w:rPr>
          <w:lang w:val="en-US"/>
        </w:rPr>
        <w:t xml:space="preserve">may </w:t>
      </w:r>
      <w:r w:rsidRPr="00A250CB">
        <w:rPr>
          <w:lang w:val="en-US"/>
        </w:rPr>
        <w:t xml:space="preserve">stratify by reclassification group to calculate numbers of </w:t>
      </w:r>
      <w:r>
        <w:rPr>
          <w:lang w:val="en-US"/>
        </w:rPr>
        <w:lastRenderedPageBreak/>
        <w:t>persons</w:t>
      </w:r>
      <w:r w:rsidRPr="00A250CB">
        <w:rPr>
          <w:lang w:val="en-US"/>
        </w:rPr>
        <w:t xml:space="preserve"> and absolute risks</w:t>
      </w:r>
      <w:r>
        <w:rPr>
          <w:lang w:val="en-US"/>
        </w:rPr>
        <w:t xml:space="preserve"> (</w:t>
      </w:r>
      <w:r w:rsidRPr="00A250CB">
        <w:rPr>
          <w:lang w:val="en-US"/>
        </w:rPr>
        <w:t xml:space="preserve">a net reclassification risk table, </w:t>
      </w:r>
      <w:r>
        <w:rPr>
          <w:lang w:val="en-US"/>
        </w:rPr>
        <w:t>Table 3)</w:t>
      </w:r>
      <w:r w:rsidRPr="00A250CB">
        <w:rPr>
          <w:lang w:val="en-US"/>
        </w:rPr>
        <w:t xml:space="preserve">. </w:t>
      </w:r>
      <w:r>
        <w:rPr>
          <w:lang w:val="en-US"/>
        </w:rPr>
        <w:t>Here, t</w:t>
      </w:r>
      <w:r w:rsidRPr="00A250CB">
        <w:rPr>
          <w:lang w:val="en-US"/>
        </w:rPr>
        <w:t>he two most relevant groups are those reclassified from low to high and from high to low risk</w:t>
      </w:r>
      <w:r>
        <w:rPr>
          <w:lang w:val="en-US"/>
        </w:rPr>
        <w:t xml:space="preserve"> (low: &lt;20% risk, high: &gt;= 20% risk)</w:t>
      </w:r>
      <w:r w:rsidRPr="00A250CB">
        <w:rPr>
          <w:lang w:val="en-US"/>
        </w:rPr>
        <w:t xml:space="preserve">. The graphical display as in Fig </w:t>
      </w:r>
      <w:r w:rsidR="006162D9">
        <w:rPr>
          <w:lang w:val="en-US"/>
        </w:rPr>
        <w:t>6</w:t>
      </w:r>
      <w:r w:rsidRPr="00A250CB">
        <w:rPr>
          <w:lang w:val="en-US"/>
        </w:rPr>
        <w:t xml:space="preserve"> </w:t>
      </w:r>
      <w:r>
        <w:rPr>
          <w:lang w:val="en-US"/>
        </w:rPr>
        <w:t>allows</w:t>
      </w:r>
      <w:r w:rsidRPr="00A250CB">
        <w:rPr>
          <w:lang w:val="en-US"/>
        </w:rPr>
        <w:t xml:space="preserve"> for a straightforward interpretation: </w:t>
      </w:r>
      <w:r>
        <w:rPr>
          <w:lang w:val="en-US"/>
        </w:rPr>
        <w:t>a larger fraction reclassified</w:t>
      </w:r>
      <w:r w:rsidRPr="00A250CB">
        <w:rPr>
          <w:lang w:val="en-US"/>
        </w:rPr>
        <w:t xml:space="preserve"> </w:t>
      </w:r>
      <w:r>
        <w:rPr>
          <w:lang w:val="en-US"/>
        </w:rPr>
        <w:t>is</w:t>
      </w:r>
      <w:r w:rsidRPr="00A250CB">
        <w:rPr>
          <w:lang w:val="en-US"/>
        </w:rPr>
        <w:t xml:space="preserve"> better</w:t>
      </w:r>
      <w:r>
        <w:rPr>
          <w:lang w:val="en-US"/>
        </w:rPr>
        <w:t xml:space="preserve"> (width of the bars)</w:t>
      </w:r>
      <w:r w:rsidRPr="00A250CB">
        <w:rPr>
          <w:lang w:val="en-US"/>
        </w:rPr>
        <w:t xml:space="preserve"> and more separation of absolute risks </w:t>
      </w:r>
      <w:r>
        <w:rPr>
          <w:lang w:val="en-US"/>
        </w:rPr>
        <w:t>is</w:t>
      </w:r>
      <w:r w:rsidRPr="00A250CB">
        <w:rPr>
          <w:lang w:val="en-US"/>
        </w:rPr>
        <w:t xml:space="preserve"> better</w:t>
      </w:r>
      <w:r>
        <w:rPr>
          <w:lang w:val="en-US"/>
        </w:rPr>
        <w:t xml:space="preserve"> (vertical spread)</w:t>
      </w:r>
      <w:r w:rsidRPr="00A250CB">
        <w:rPr>
          <w:lang w:val="en-US"/>
        </w:rPr>
        <w:t>.</w:t>
      </w:r>
      <w:r>
        <w:rPr>
          <w:lang w:val="en-US"/>
        </w:rPr>
        <w:t xml:space="preserve"> The area of each bar is proportional to the number of events in a reclassification group. The change in sensitivity is </w:t>
      </w:r>
      <w:r w:rsidR="00206007">
        <w:rPr>
          <w:lang w:val="en-US"/>
        </w:rPr>
        <w:t xml:space="preserve">proportional to </w:t>
      </w:r>
      <w:r>
        <w:rPr>
          <w:lang w:val="en-US"/>
        </w:rPr>
        <w:t>the difference between areas for the L</w:t>
      </w:r>
      <w:r w:rsidR="006162D9">
        <w:rPr>
          <w:lang w:val="en-US"/>
        </w:rPr>
        <w:t>-&gt;</w:t>
      </w:r>
      <w:r>
        <w:rPr>
          <w:lang w:val="en-US"/>
        </w:rPr>
        <w:t>H and H</w:t>
      </w:r>
      <w:r w:rsidR="006162D9">
        <w:rPr>
          <w:lang w:val="en-US"/>
        </w:rPr>
        <w:t>-&gt;</w:t>
      </w:r>
      <w:r>
        <w:rPr>
          <w:lang w:val="en-US"/>
        </w:rPr>
        <w:t xml:space="preserve">L groups in Figure </w:t>
      </w:r>
      <w:r w:rsidR="006162D9">
        <w:rPr>
          <w:lang w:val="en-US"/>
        </w:rPr>
        <w:t>6</w:t>
      </w:r>
      <w:r>
        <w:rPr>
          <w:lang w:val="en-US"/>
        </w:rPr>
        <w:t xml:space="preserve">. A marker that can better identify events hence has a larger difference in areas. From Table 3 and Figure </w:t>
      </w:r>
      <w:r w:rsidR="006162D9">
        <w:rPr>
          <w:lang w:val="en-US"/>
        </w:rPr>
        <w:t>6</w:t>
      </w:r>
      <w:r>
        <w:rPr>
          <w:lang w:val="en-US"/>
        </w:rPr>
        <w:t xml:space="preserve"> we learn that </w:t>
      </w:r>
      <w:r w:rsidRPr="00A250CB">
        <w:rPr>
          <w:lang w:val="en-US"/>
        </w:rPr>
        <w:t xml:space="preserve">29 </w:t>
      </w:r>
      <w:r>
        <w:rPr>
          <w:lang w:val="en-US"/>
        </w:rPr>
        <w:t>persons</w:t>
      </w:r>
      <w:r w:rsidRPr="00A250CB">
        <w:rPr>
          <w:lang w:val="en-US"/>
        </w:rPr>
        <w:t xml:space="preserve"> </w:t>
      </w:r>
      <w:r>
        <w:rPr>
          <w:lang w:val="en-US"/>
        </w:rPr>
        <w:t xml:space="preserve">were </w:t>
      </w:r>
      <w:r w:rsidRPr="00A250CB">
        <w:rPr>
          <w:lang w:val="en-US"/>
        </w:rPr>
        <w:t>reclassified from high to low risk (H</w:t>
      </w:r>
      <w:r w:rsidR="006162D9">
        <w:rPr>
          <w:lang w:val="en-US"/>
        </w:rPr>
        <w:t>-&gt;</w:t>
      </w:r>
      <w:r w:rsidRPr="00A250CB">
        <w:rPr>
          <w:lang w:val="en-US"/>
        </w:rPr>
        <w:t>L), with a 10% event rate, and 45 reclassified from low to high risk (L</w:t>
      </w:r>
      <w:r w:rsidR="006162D9">
        <w:rPr>
          <w:lang w:val="en-US"/>
        </w:rPr>
        <w:t>-&gt;</w:t>
      </w:r>
      <w:r w:rsidRPr="00A250CB">
        <w:rPr>
          <w:lang w:val="en-US"/>
        </w:rPr>
        <w:t xml:space="preserve">H), with a 31% event rate. </w:t>
      </w:r>
      <w:r>
        <w:rPr>
          <w:lang w:val="en-US"/>
        </w:rPr>
        <w:t xml:space="preserve">We hence identify 45*0.31 – 29*0.10 = 11 more events. </w:t>
      </w:r>
      <w:r w:rsidRPr="00A250CB">
        <w:rPr>
          <w:lang w:val="en-US"/>
        </w:rPr>
        <w:t>These 11 events account for a sensitivity increase of 11/183 (6</w:t>
      </w:r>
      <w:r>
        <w:rPr>
          <w:lang w:val="en-US"/>
        </w:rPr>
        <w:t>.0%</w:t>
      </w:r>
      <w:r w:rsidRPr="00A250CB">
        <w:rPr>
          <w:lang w:val="en-US"/>
        </w:rPr>
        <w:t xml:space="preserve">). The </w:t>
      </w:r>
      <w:r>
        <w:rPr>
          <w:lang w:val="en-US"/>
        </w:rPr>
        <w:t xml:space="preserve">increase </w:t>
      </w:r>
      <w:r w:rsidRPr="00A250CB">
        <w:rPr>
          <w:lang w:val="en-US"/>
        </w:rPr>
        <w:t xml:space="preserve">is partly achieved by defining a larger number of </w:t>
      </w:r>
      <w:r>
        <w:rPr>
          <w:lang w:val="en-US"/>
        </w:rPr>
        <w:t>persons</w:t>
      </w:r>
      <w:r w:rsidRPr="00A250CB">
        <w:rPr>
          <w:lang w:val="en-US"/>
        </w:rPr>
        <w:t xml:space="preserve"> as high risk (45 vs 29 </w:t>
      </w:r>
      <w:r>
        <w:rPr>
          <w:lang w:val="en-US"/>
        </w:rPr>
        <w:t>persons</w:t>
      </w:r>
      <w:r w:rsidRPr="00A250CB">
        <w:rPr>
          <w:lang w:val="en-US"/>
        </w:rPr>
        <w:t>), which causes some overtreatment for those without events</w:t>
      </w:r>
      <w:r>
        <w:rPr>
          <w:lang w:val="en-US"/>
        </w:rPr>
        <w:t xml:space="preserve"> (more false-positives). The number of false-positives can be calculated from the probabilities of a non-event, which is the complement of the event risk</w:t>
      </w:r>
      <w:r w:rsidRPr="00A250CB">
        <w:rPr>
          <w:lang w:val="en-US"/>
        </w:rPr>
        <w:t>: 45*(1</w:t>
      </w:r>
      <w:r>
        <w:rPr>
          <w:lang w:val="en-US"/>
        </w:rPr>
        <w:t xml:space="preserve"> </w:t>
      </w:r>
      <w:r w:rsidRPr="00A250CB">
        <w:rPr>
          <w:lang w:val="en-US"/>
        </w:rPr>
        <w:t>-</w:t>
      </w:r>
      <w:r>
        <w:rPr>
          <w:lang w:val="en-US"/>
        </w:rPr>
        <w:t xml:space="preserve"> </w:t>
      </w:r>
      <w:r w:rsidRPr="00A250CB">
        <w:rPr>
          <w:lang w:val="en-US"/>
        </w:rPr>
        <w:t>0.31) – 29*(1</w:t>
      </w:r>
      <w:r>
        <w:rPr>
          <w:lang w:val="en-US"/>
        </w:rPr>
        <w:t xml:space="preserve"> </w:t>
      </w:r>
      <w:r w:rsidRPr="00A250CB">
        <w:rPr>
          <w:lang w:val="en-US"/>
        </w:rPr>
        <w:t>-</w:t>
      </w:r>
      <w:r>
        <w:rPr>
          <w:lang w:val="en-US"/>
        </w:rPr>
        <w:t xml:space="preserve"> </w:t>
      </w:r>
      <w:r w:rsidRPr="00A250CB">
        <w:rPr>
          <w:lang w:val="en-US"/>
        </w:rPr>
        <w:t xml:space="preserve">0.10) = 5 </w:t>
      </w:r>
      <w:r>
        <w:rPr>
          <w:lang w:val="en-US"/>
        </w:rPr>
        <w:t>additional false-positives</w:t>
      </w:r>
      <w:r w:rsidRPr="00A250CB">
        <w:rPr>
          <w:lang w:val="en-US"/>
        </w:rPr>
        <w:t xml:space="preserve">. </w:t>
      </w:r>
      <w:r>
        <w:rPr>
          <w:lang w:val="en-US"/>
        </w:rPr>
        <w:t xml:space="preserve">This loss in specificity (5/3081, </w:t>
      </w:r>
      <w:r w:rsidRPr="00A250CB">
        <w:rPr>
          <w:lang w:val="en-US"/>
        </w:rPr>
        <w:t>–0.2%</w:t>
      </w:r>
      <w:r>
        <w:rPr>
          <w:lang w:val="en-US"/>
        </w:rPr>
        <w:t>) might be shown similarly in a Net Reclassification Risk graph, either by stacked bars, or by plotting the non-event rate at the y-axis (results not shown).</w:t>
      </w:r>
      <w:r w:rsidRPr="00A250CB">
        <w:rPr>
          <w:lang w:val="en-US"/>
        </w:rPr>
        <w:t xml:space="preserve"> </w:t>
      </w:r>
    </w:p>
    <w:p w:rsidR="00B85B9F" w:rsidRDefault="00B85B9F" w:rsidP="00F22177">
      <w:pPr>
        <w:spacing w:line="360" w:lineRule="auto"/>
        <w:rPr>
          <w:lang w:val="en-US"/>
        </w:rPr>
      </w:pPr>
    </w:p>
    <w:p w:rsidR="00B85B9F" w:rsidRPr="00E00850" w:rsidRDefault="00B85B9F" w:rsidP="00351E97">
      <w:pPr>
        <w:spacing w:line="360" w:lineRule="auto"/>
        <w:rPr>
          <w:i/>
          <w:lang w:val="en-US"/>
        </w:rPr>
      </w:pPr>
      <w:r w:rsidRPr="00E00850">
        <w:rPr>
          <w:i/>
          <w:lang w:val="en-US"/>
        </w:rPr>
        <w:t>Summary measures for binary classification</w:t>
      </w:r>
    </w:p>
    <w:p w:rsidR="00B85B9F" w:rsidRPr="00A250CB" w:rsidRDefault="00B85B9F" w:rsidP="00F22177">
      <w:pPr>
        <w:spacing w:line="360" w:lineRule="auto"/>
        <w:rPr>
          <w:lang w:val="en-US"/>
        </w:rPr>
      </w:pPr>
      <w:r w:rsidRPr="00A250CB">
        <w:rPr>
          <w:lang w:val="en-US"/>
        </w:rPr>
        <w:t xml:space="preserve">The AUC for a binary ROC curve </w:t>
      </w:r>
      <w:r>
        <w:rPr>
          <w:lang w:val="en-US"/>
        </w:rPr>
        <w:t>equals</w:t>
      </w:r>
      <w:r w:rsidRPr="00A250CB">
        <w:rPr>
          <w:lang w:val="en-US"/>
        </w:rPr>
        <w:t xml:space="preserve"> (sens</w:t>
      </w:r>
      <w:r>
        <w:rPr>
          <w:lang w:val="en-US"/>
        </w:rPr>
        <w:t xml:space="preserve">itivity </w:t>
      </w:r>
      <w:r w:rsidRPr="00A250CB">
        <w:rPr>
          <w:lang w:val="en-US"/>
        </w:rPr>
        <w:t>+</w:t>
      </w:r>
      <w:r>
        <w:rPr>
          <w:lang w:val="en-US"/>
        </w:rPr>
        <w:t xml:space="preserve"> </w:t>
      </w:r>
      <w:r w:rsidRPr="00A250CB">
        <w:rPr>
          <w:lang w:val="en-US"/>
        </w:rPr>
        <w:t>spec</w:t>
      </w:r>
      <w:r>
        <w:rPr>
          <w:lang w:val="en-US"/>
        </w:rPr>
        <w:t>ificity</w:t>
      </w:r>
      <w:r w:rsidRPr="00A250CB">
        <w:rPr>
          <w:lang w:val="en-US"/>
        </w:rPr>
        <w:t>)/2</w:t>
      </w:r>
      <w:r w:rsidR="001438F2">
        <w:rPr>
          <w:lang w:val="en-US"/>
        </w:rPr>
        <w:t>. It</w:t>
      </w:r>
      <w:r w:rsidRPr="00A250CB">
        <w:rPr>
          <w:lang w:val="en-US"/>
        </w:rPr>
        <w:t xml:space="preserve"> increased from 0.550 to 0.579 (+0.029). In the case</w:t>
      </w:r>
      <w:r>
        <w:rPr>
          <w:lang w:val="en-US"/>
        </w:rPr>
        <w:t xml:space="preserve"> of a single cut-off</w:t>
      </w:r>
      <w:r w:rsidRPr="00A250CB">
        <w:rPr>
          <w:lang w:val="en-US"/>
        </w:rPr>
        <w:t>, the</w:t>
      </w:r>
      <w:r>
        <w:rPr>
          <w:lang w:val="en-US"/>
        </w:rPr>
        <w:t xml:space="preserve"> event</w:t>
      </w:r>
      <w:r w:rsidRPr="00A250CB">
        <w:rPr>
          <w:lang w:val="en-US"/>
        </w:rPr>
        <w:t xml:space="preserve"> NRI</w:t>
      </w:r>
      <w:r>
        <w:rPr>
          <w:lang w:val="en-US"/>
        </w:rPr>
        <w:t xml:space="preserve"> and non-event NRI</w:t>
      </w:r>
      <w:r w:rsidRPr="00A250CB">
        <w:rPr>
          <w:lang w:val="en-US"/>
        </w:rPr>
        <w:t xml:space="preserve"> are the changes in sensitivity and specificity. </w:t>
      </w:r>
      <w:r>
        <w:rPr>
          <w:lang w:val="en-US"/>
        </w:rPr>
        <w:t>Hence,</w:t>
      </w:r>
    </w:p>
    <w:p w:rsidR="00B85B9F" w:rsidRPr="00A250CB" w:rsidRDefault="00B85B9F" w:rsidP="007A77F4">
      <w:pPr>
        <w:spacing w:line="360" w:lineRule="auto"/>
        <w:ind w:firstLine="720"/>
        <w:rPr>
          <w:lang w:val="en-US"/>
        </w:rPr>
      </w:pPr>
      <w:r w:rsidRPr="00A250CB">
        <w:rPr>
          <w:lang w:val="en-US"/>
        </w:rPr>
        <w:t>NRI = 2*</w:t>
      </w:r>
      <w:r w:rsidRPr="00A250CB">
        <w:rPr>
          <w:rFonts w:ascii="Lucida Grande Greek" w:hAnsi="Lucida Grande Greek" w:cs="Lucida Grande Greek"/>
          <w:b/>
          <w:color w:val="000000"/>
          <w:lang w:val="en-US"/>
        </w:rPr>
        <w:t>Δ</w:t>
      </w:r>
      <w:r w:rsidRPr="00A250CB">
        <w:rPr>
          <w:lang w:val="en-US"/>
        </w:rPr>
        <w:t>AUC</w:t>
      </w:r>
      <w:r w:rsidR="00033A6E">
        <w:rPr>
          <w:lang w:val="en-US"/>
        </w:rPr>
        <w:t>.</w:t>
      </w:r>
      <w:r w:rsidRPr="00A250CB">
        <w:rPr>
          <w:lang w:val="en-US"/>
        </w:rPr>
        <w:t xml:space="preserve"> </w:t>
      </w:r>
      <w:r w:rsidR="004B61B4">
        <w:rPr>
          <w:lang w:val="en-US"/>
        </w:rPr>
        <w:fldChar w:fldCharType="begin"/>
      </w:r>
      <w:r w:rsidR="004B61B4">
        <w:rPr>
          <w:lang w:val="en-US"/>
        </w:rPr>
        <w:instrText xml:space="preserve"> ADDIN EN.CITE &lt;EndNote&gt;&lt;Cite&gt;&lt;Author&gt;Pencina&lt;/Author&gt;&lt;Year&gt;2008&lt;/Year&gt;&lt;RecNum&gt;573&lt;/RecNum&gt;&lt;DisplayText&gt;(Pencina et al., 2008)&lt;/DisplayText&gt;&lt;record&gt;&lt;rec-number&gt;573&lt;/rec-number&gt;&lt;foreign-keys&gt;&lt;key app="EN" db-id="s5at2da0rxdws8ew29spaefwt99szxvvfawz"&gt;573&lt;/key&gt;&lt;/foreign-keys&gt;&lt;ref-type name="Journal Article"&gt;17&lt;/ref-type&gt;&lt;contributors&gt;&lt;authors&gt;&lt;author&gt;Pencina, M. J.&lt;/author&gt;&lt;author&gt;D&amp;apos;Agostino, R. B., Sr.&lt;/author&gt;&lt;author&gt;D&amp;apos;Agostino, R. B., Jr.&lt;/author&gt;&lt;author&gt;Vasan, R. S.&lt;/author&gt;&lt;/authors&gt;&lt;/contributors&gt;&lt;auth-address&gt;Department of Mathematics and Statistics, Framingham Heart Study, Boston University, Boston, MA 02215, USA. mpencina@bu.edu&lt;/auth-address&gt;&lt;titles&gt;&lt;title&gt;Evaluating the added predictive ability of a new marker: from area under the ROC curve to reclassification and beyond&lt;/title&gt;&lt;secondary-title&gt;Stat Med&lt;/secondary-title&gt;&lt;alt-title&gt;Statistics in medicine&lt;/alt-title&gt;&lt;/titles&gt;&lt;periodical&gt;&lt;full-title&gt;Stat Med&lt;/full-title&gt;&lt;/periodical&gt;&lt;pages&gt;157-72; discussion 207-12&lt;/pages&gt;&lt;volume&gt;27&lt;/volume&gt;&lt;number&gt;2&lt;/number&gt;&lt;dates&gt;&lt;year&gt;2008&lt;/year&gt;&lt;pub-dates&gt;&lt;date&gt;Jan 30&lt;/date&gt;&lt;/pub-dates&gt;&lt;/dates&gt;&lt;isbn&gt;0277-6715 (Print)&lt;/isbn&gt;&lt;accession-num&gt;17569110&lt;/accession-num&gt;&lt;urls&gt;&lt;related-urls&gt;&lt;url&gt;http://www.ncbi.nlm.nih.gov/entrez/query.fcgi?cmd=Retrieve&amp;amp;db=PubMed&amp;amp;dopt=Citation&amp;amp;list_uids=17569110 &lt;/url&gt;&lt;/related-urls&gt;&lt;/urls&gt;&lt;language&gt;eng&lt;/language&gt;&lt;/record&gt;&lt;/Cite&gt;&lt;/EndNote&gt;</w:instrText>
      </w:r>
      <w:r w:rsidR="004B61B4">
        <w:rPr>
          <w:lang w:val="en-US"/>
        </w:rPr>
        <w:fldChar w:fldCharType="separate"/>
      </w:r>
      <w:r w:rsidR="004B61B4">
        <w:rPr>
          <w:noProof/>
          <w:lang w:val="en-US"/>
        </w:rPr>
        <w:t>(</w:t>
      </w:r>
      <w:hyperlink w:anchor="_ENREF_24" w:tooltip="Pencina, 2008 #573" w:history="1">
        <w:r w:rsidR="00BF347F">
          <w:rPr>
            <w:noProof/>
            <w:lang w:val="en-US"/>
          </w:rPr>
          <w:t>Pencina et al., 2008</w:t>
        </w:r>
      </w:hyperlink>
      <w:r w:rsidR="004B61B4">
        <w:rPr>
          <w:noProof/>
          <w:lang w:val="en-US"/>
        </w:rPr>
        <w:t>)</w:t>
      </w:r>
      <w:r w:rsidR="004B61B4">
        <w:rPr>
          <w:lang w:val="en-US"/>
        </w:rPr>
        <w:fldChar w:fldCharType="end"/>
      </w:r>
    </w:p>
    <w:p w:rsidR="00B85B9F" w:rsidRPr="00A250CB" w:rsidRDefault="00B85B9F" w:rsidP="003E3CA6">
      <w:pPr>
        <w:spacing w:line="360" w:lineRule="auto"/>
        <w:ind w:left="720"/>
        <w:rPr>
          <w:lang w:val="en-US"/>
        </w:rPr>
      </w:pPr>
      <w:r w:rsidRPr="00A250CB">
        <w:rPr>
          <w:lang w:val="en-US"/>
        </w:rPr>
        <w:t>In our case study, NRI</w:t>
      </w:r>
      <w:r>
        <w:rPr>
          <w:lang w:val="en-US"/>
        </w:rPr>
        <w:t xml:space="preserve"> </w:t>
      </w:r>
      <w:r w:rsidRPr="00A250CB">
        <w:rPr>
          <w:lang w:val="en-US"/>
        </w:rPr>
        <w:t>=</w:t>
      </w:r>
      <w:r>
        <w:rPr>
          <w:lang w:val="en-US"/>
        </w:rPr>
        <w:t xml:space="preserve"> </w:t>
      </w:r>
      <w:r w:rsidRPr="00A250CB">
        <w:rPr>
          <w:lang w:val="en-US"/>
        </w:rPr>
        <w:t>0.058 [</w:t>
      </w:r>
      <w:r w:rsidR="004D25CC">
        <w:rPr>
          <w:lang w:val="en-US"/>
        </w:rPr>
        <w:t xml:space="preserve">=6.0% </w:t>
      </w:r>
      <w:r w:rsidR="001438F2">
        <w:rPr>
          <w:lang w:val="en-US"/>
        </w:rPr>
        <w:t>–</w:t>
      </w:r>
      <w:r w:rsidR="004D25CC">
        <w:rPr>
          <w:lang w:val="en-US"/>
        </w:rPr>
        <w:t xml:space="preserve"> </w:t>
      </w:r>
      <w:r>
        <w:rPr>
          <w:lang w:val="en-US"/>
        </w:rPr>
        <w:t>0.2%</w:t>
      </w:r>
      <w:r w:rsidRPr="00A250CB">
        <w:rPr>
          <w:lang w:val="en-US"/>
        </w:rPr>
        <w:t xml:space="preserve">], and </w:t>
      </w:r>
      <w:r w:rsidRPr="00A250CB">
        <w:rPr>
          <w:rFonts w:ascii="Lucida Grande Greek" w:hAnsi="Lucida Grande Greek" w:cs="Lucida Grande Greek"/>
          <w:b/>
          <w:color w:val="000000"/>
          <w:lang w:val="en-US"/>
        </w:rPr>
        <w:t>Δ</w:t>
      </w:r>
      <w:r w:rsidRPr="00A250CB">
        <w:rPr>
          <w:lang w:val="en-US"/>
        </w:rPr>
        <w:t>AUC</w:t>
      </w:r>
      <w:r>
        <w:rPr>
          <w:lang w:val="en-US"/>
        </w:rPr>
        <w:t xml:space="preserve"> </w:t>
      </w:r>
      <w:r w:rsidRPr="00A250CB">
        <w:rPr>
          <w:lang w:val="en-US"/>
        </w:rPr>
        <w:t>=</w:t>
      </w:r>
      <w:r>
        <w:rPr>
          <w:lang w:val="en-US"/>
        </w:rPr>
        <w:t xml:space="preserve"> </w:t>
      </w:r>
      <w:r w:rsidRPr="00A250CB">
        <w:rPr>
          <w:lang w:val="en-US"/>
        </w:rPr>
        <w:t>0.029 [</w:t>
      </w:r>
      <w:r w:rsidR="001438F2">
        <w:rPr>
          <w:lang w:val="en-US"/>
        </w:rPr>
        <w:t>=</w:t>
      </w:r>
      <w:r>
        <w:rPr>
          <w:lang w:val="en-US"/>
        </w:rPr>
        <w:t xml:space="preserve">0.579 </w:t>
      </w:r>
      <w:r w:rsidR="001438F2">
        <w:rPr>
          <w:lang w:val="en-US"/>
        </w:rPr>
        <w:t>–</w:t>
      </w:r>
      <w:r w:rsidR="004D25CC">
        <w:rPr>
          <w:lang w:val="en-US"/>
        </w:rPr>
        <w:t xml:space="preserve"> </w:t>
      </w:r>
      <w:r>
        <w:rPr>
          <w:lang w:val="en-US"/>
        </w:rPr>
        <w:t>0.550</w:t>
      </w:r>
      <w:r w:rsidRPr="00A250CB">
        <w:rPr>
          <w:lang w:val="en-US"/>
        </w:rPr>
        <w:t>].</w:t>
      </w:r>
    </w:p>
    <w:p w:rsidR="00B85B9F" w:rsidRDefault="00B85B9F" w:rsidP="00844FB6">
      <w:pPr>
        <w:spacing w:line="360" w:lineRule="auto"/>
        <w:rPr>
          <w:lang w:val="en-US"/>
        </w:rPr>
      </w:pPr>
      <w:r w:rsidRPr="00A250CB">
        <w:rPr>
          <w:rFonts w:ascii="Lucida Grande Greek" w:hAnsi="Lucida Grande Greek" w:cs="Lucida Grande Greek"/>
          <w:b/>
          <w:color w:val="000000"/>
          <w:lang w:val="en-US"/>
        </w:rPr>
        <w:t>Δ</w:t>
      </w:r>
      <w:r>
        <w:rPr>
          <w:lang w:val="en-US"/>
        </w:rPr>
        <w:t xml:space="preserve">AUC and NRI </w:t>
      </w:r>
      <w:r w:rsidRPr="00A250CB">
        <w:rPr>
          <w:lang w:val="en-US"/>
        </w:rPr>
        <w:t>weight changes in sensitivity and specificity equally. If the event rate is below 50%, this implies that</w:t>
      </w:r>
      <w:r>
        <w:rPr>
          <w:lang w:val="en-US"/>
        </w:rPr>
        <w:t xml:space="preserve"> a change</w:t>
      </w:r>
      <w:r w:rsidRPr="00A250CB">
        <w:rPr>
          <w:lang w:val="en-US"/>
        </w:rPr>
        <w:t xml:space="preserve"> in classification for </w:t>
      </w:r>
      <w:r>
        <w:rPr>
          <w:lang w:val="en-US"/>
        </w:rPr>
        <w:t>an individual</w:t>
      </w:r>
      <w:r w:rsidRPr="00A250CB">
        <w:rPr>
          <w:lang w:val="en-US"/>
        </w:rPr>
        <w:t xml:space="preserve"> with </w:t>
      </w:r>
      <w:r>
        <w:rPr>
          <w:lang w:val="en-US"/>
        </w:rPr>
        <w:t xml:space="preserve">an </w:t>
      </w:r>
      <w:r w:rsidRPr="00A250CB">
        <w:rPr>
          <w:lang w:val="en-US"/>
        </w:rPr>
        <w:t>event</w:t>
      </w:r>
      <w:r>
        <w:rPr>
          <w:lang w:val="en-US"/>
        </w:rPr>
        <w:t xml:space="preserve"> is</w:t>
      </w:r>
      <w:r w:rsidRPr="00A250CB">
        <w:rPr>
          <w:lang w:val="en-US"/>
        </w:rPr>
        <w:t xml:space="preserve"> weighted relatively heavier than for</w:t>
      </w:r>
      <w:r>
        <w:rPr>
          <w:lang w:val="en-US"/>
        </w:rPr>
        <w:t xml:space="preserve"> an</w:t>
      </w:r>
      <w:r w:rsidRPr="00A250CB">
        <w:rPr>
          <w:lang w:val="en-US"/>
        </w:rPr>
        <w:t xml:space="preserve"> </w:t>
      </w:r>
      <w:r>
        <w:rPr>
          <w:lang w:val="en-US"/>
        </w:rPr>
        <w:t>individual</w:t>
      </w:r>
      <w:r w:rsidRPr="00A250CB">
        <w:rPr>
          <w:lang w:val="en-US"/>
        </w:rPr>
        <w:t xml:space="preserve"> without</w:t>
      </w:r>
      <w:r>
        <w:rPr>
          <w:lang w:val="en-US"/>
        </w:rPr>
        <w:t xml:space="preserve"> an event</w:t>
      </w:r>
      <w:r w:rsidRPr="00A250CB">
        <w:rPr>
          <w:lang w:val="en-US"/>
        </w:rPr>
        <w:t xml:space="preserve">. For event rates over 50%, specificity changes are weighted as relatively </w:t>
      </w:r>
      <w:r w:rsidRPr="00A250CB">
        <w:rPr>
          <w:lang w:val="en-US"/>
        </w:rPr>
        <w:lastRenderedPageBreak/>
        <w:t xml:space="preserve">more important.  </w:t>
      </w:r>
      <w:r w:rsidR="001438F2">
        <w:rPr>
          <w:lang w:val="en-US"/>
        </w:rPr>
        <w:t xml:space="preserve">Specifically, </w:t>
      </w:r>
      <w:r w:rsidR="001438F2" w:rsidRPr="00A250CB">
        <w:rPr>
          <w:rFonts w:ascii="Lucida Grande Greek" w:hAnsi="Lucida Grande Greek" w:cs="Lucida Grande Greek"/>
          <w:b/>
          <w:color w:val="000000"/>
          <w:lang w:val="en-US"/>
        </w:rPr>
        <w:t>Δ</w:t>
      </w:r>
      <w:r w:rsidR="001438F2">
        <w:rPr>
          <w:lang w:val="en-US"/>
        </w:rPr>
        <w:t xml:space="preserve">AUC and NRI </w:t>
      </w:r>
      <w:r w:rsidRPr="00A250CB">
        <w:rPr>
          <w:lang w:val="en-US"/>
        </w:rPr>
        <w:t xml:space="preserve">weight the numbers of </w:t>
      </w:r>
      <w:r w:rsidR="001438F2">
        <w:rPr>
          <w:lang w:val="en-US"/>
        </w:rPr>
        <w:t xml:space="preserve">extra </w:t>
      </w:r>
      <w:r w:rsidRPr="00A250CB">
        <w:rPr>
          <w:lang w:val="en-US"/>
        </w:rPr>
        <w:t>TP</w:t>
      </w:r>
      <w:r>
        <w:rPr>
          <w:lang w:val="en-US"/>
        </w:rPr>
        <w:t xml:space="preserve"> </w:t>
      </w:r>
      <w:r w:rsidR="001438F2">
        <w:rPr>
          <w:lang w:val="en-US"/>
        </w:rPr>
        <w:t>and</w:t>
      </w:r>
      <w:r>
        <w:rPr>
          <w:lang w:val="en-US"/>
        </w:rPr>
        <w:t xml:space="preserve"> TN</w:t>
      </w:r>
      <w:r w:rsidRPr="00A250CB">
        <w:rPr>
          <w:lang w:val="en-US"/>
        </w:rPr>
        <w:t xml:space="preserve"> classifications</w:t>
      </w:r>
      <w:r>
        <w:rPr>
          <w:lang w:val="en-US"/>
        </w:rPr>
        <w:t xml:space="preserve"> by the odds of the event rate</w:t>
      </w:r>
      <w:r w:rsidR="006162D9">
        <w:rPr>
          <w:lang w:val="en-US"/>
        </w:rPr>
        <w:t xml:space="preserve"> </w:t>
      </w:r>
      <w:r w:rsidR="004B61B4">
        <w:rPr>
          <w:lang w:val="en-US"/>
        </w:rPr>
        <w:fldChar w:fldCharType="begin"/>
      </w:r>
      <w:r w:rsidR="004B61B4">
        <w:rPr>
          <w:lang w:val="en-US"/>
        </w:rPr>
        <w:instrText xml:space="preserve"> ADDIN EN.CITE &lt;EndNote&gt;&lt;Cite&gt;&lt;Author&gt;Van Calster&lt;/Author&gt;&lt;Year&gt;2013&lt;/Year&gt;&lt;RecNum&gt;877&lt;/RecNum&gt;&lt;DisplayText&gt;(Van Calster et al., 2013)&lt;/DisplayText&gt;&lt;record&gt;&lt;rec-number&gt;877&lt;/rec-number&gt;&lt;foreign-keys&gt;&lt;key app="EN" db-id="s5at2da0rxdws8ew29spaefwt99szxvvfawz"&gt;877&lt;/key&gt;&lt;/foreign-keys&gt;&lt;ref-type name="Journal Article"&gt;17&lt;/ref-type&gt;&lt;contributors&gt;&lt;authors&gt;&lt;author&gt;Van Calster, B.&lt;/author&gt;&lt;author&gt;Vickers, A. J.&lt;/author&gt;&lt;author&gt;Pencina, M. J.&lt;/author&gt;&lt;author&gt;Baker, S. G.&lt;/author&gt;&lt;author&gt;Timmerman, D.&lt;/author&gt;&lt;author&gt;Steyerberg, E. W.&lt;/author&gt;&lt;/authors&gt;&lt;/contributors&gt;&lt;auth-address&gt;Department of Development and Regeneration, KU Leuven-University of Leuven, Leuven, Belgium. ben.vancalster@med.kuleuven.be&lt;/auth-address&gt;&lt;titles&gt;&lt;title&gt;Evaluation of markers and risk prediction models: overview of relationships between NRI and decision-analytic measures&lt;/title&gt;&lt;secondary-title&gt;Med Decis Making&lt;/secondary-title&gt;&lt;/titles&gt;&lt;periodical&gt;&lt;full-title&gt;Med Decis Making&lt;/full-title&gt;&lt;/periodical&gt;&lt;pages&gt;490-501&lt;/pages&gt;&lt;volume&gt;33&lt;/volume&gt;&lt;number&gt;4&lt;/number&gt;&lt;edition&gt;2013/01/15&lt;/edition&gt;&lt;keywords&gt;&lt;keyword&gt;Calibration&lt;/keyword&gt;&lt;keyword&gt;*Decision Support Techniques&lt;/keyword&gt;&lt;keyword&gt;Female&lt;/keyword&gt;&lt;keyword&gt;Humans&lt;/keyword&gt;&lt;keyword&gt;*Models, Theoretical&lt;/keyword&gt;&lt;keyword&gt;Ovarian Neoplasms/diagnosis&lt;/keyword&gt;&lt;keyword&gt;ROC Curve&lt;/keyword&gt;&lt;keyword&gt;Risk&lt;/keyword&gt;&lt;keyword&gt;Tumor Markers, Biological/blood&lt;/keyword&gt;&lt;/keywords&gt;&lt;dates&gt;&lt;year&gt;2013&lt;/year&gt;&lt;pub-dates&gt;&lt;date&gt;May&lt;/date&gt;&lt;/pub-dates&gt;&lt;/dates&gt;&lt;isbn&gt;1552-681X (Electronic)&amp;#xD;0272-989X (Linking)&lt;/isbn&gt;&lt;accession-num&gt;23313931&lt;/accession-num&gt;&lt;urls&gt;&lt;related-urls&gt;&lt;url&gt;http://www.ncbi.nlm.nih.gov/pubmed/23313931&lt;/url&gt;&lt;/related-urls&gt;&lt;/urls&gt;&lt;electronic-resource-num&gt;0272989X12470757 [pii]&amp;#xD;10.1177/0272989X12470757&lt;/electronic-resource-num&gt;&lt;language&gt;eng&lt;/language&gt;&lt;/record&gt;&lt;/Cite&gt;&lt;/EndNote&gt;</w:instrText>
      </w:r>
      <w:r w:rsidR="004B61B4">
        <w:rPr>
          <w:lang w:val="en-US"/>
        </w:rPr>
        <w:fldChar w:fldCharType="separate"/>
      </w:r>
      <w:r w:rsidR="004B61B4">
        <w:rPr>
          <w:noProof/>
          <w:lang w:val="en-US"/>
        </w:rPr>
        <w:t>(</w:t>
      </w:r>
      <w:hyperlink w:anchor="_ENREF_40" w:tooltip="Van Calster, 2013 #877" w:history="1">
        <w:r w:rsidR="00BF347F">
          <w:rPr>
            <w:noProof/>
            <w:lang w:val="en-US"/>
          </w:rPr>
          <w:t>Van Calster et al., 2013</w:t>
        </w:r>
      </w:hyperlink>
      <w:r w:rsidR="004B61B4">
        <w:rPr>
          <w:noProof/>
          <w:lang w:val="en-US"/>
        </w:rPr>
        <w:t>)</w:t>
      </w:r>
      <w:r w:rsidR="004B61B4">
        <w:rPr>
          <w:lang w:val="en-US"/>
        </w:rPr>
        <w:fldChar w:fldCharType="end"/>
      </w:r>
      <w:r>
        <w:rPr>
          <w:lang w:val="en-US"/>
        </w:rPr>
        <w:t>.</w:t>
      </w:r>
    </w:p>
    <w:p w:rsidR="00B85B9F" w:rsidRPr="00A250CB" w:rsidRDefault="00B85B9F" w:rsidP="00844FB6">
      <w:pPr>
        <w:spacing w:line="360" w:lineRule="auto"/>
        <w:rPr>
          <w:lang w:val="en-US"/>
        </w:rPr>
      </w:pPr>
      <w:r w:rsidRPr="00A250CB">
        <w:rPr>
          <w:lang w:val="en-US"/>
        </w:rPr>
        <w:t xml:space="preserve"> </w:t>
      </w:r>
    </w:p>
    <w:p w:rsidR="00B85B9F" w:rsidRPr="00A250CB" w:rsidRDefault="00B85B9F" w:rsidP="0038583A">
      <w:pPr>
        <w:spacing w:line="360" w:lineRule="auto"/>
        <w:rPr>
          <w:i/>
          <w:lang w:val="en-US"/>
        </w:rPr>
      </w:pPr>
      <w:r w:rsidRPr="00A250CB">
        <w:rPr>
          <w:i/>
          <w:lang w:val="en-US"/>
        </w:rPr>
        <w:t>Weighted sums of sensitivity and specificity</w:t>
      </w:r>
    </w:p>
    <w:p w:rsidR="00B85B9F" w:rsidRPr="00A250CB" w:rsidRDefault="00B85B9F" w:rsidP="0038583A">
      <w:pPr>
        <w:spacing w:line="360" w:lineRule="auto"/>
        <w:rPr>
          <w:lang w:val="en-US"/>
        </w:rPr>
      </w:pPr>
      <w:r w:rsidRPr="00A250CB">
        <w:rPr>
          <w:lang w:val="en-US"/>
        </w:rPr>
        <w:t>A weighted variant of summing sensitivity and specificity was al</w:t>
      </w:r>
      <w:r>
        <w:rPr>
          <w:lang w:val="en-US"/>
        </w:rPr>
        <w:t xml:space="preserve">ready proposed by Peirce </w:t>
      </w:r>
      <w:r w:rsidRPr="00A250CB">
        <w:rPr>
          <w:lang w:val="en-US"/>
        </w:rPr>
        <w:t>in 1884</w:t>
      </w:r>
      <w:r w:rsidR="00033A6E">
        <w:rPr>
          <w:lang w:val="en-US"/>
        </w:rPr>
        <w:t xml:space="preserve"> </w:t>
      </w:r>
      <w:r w:rsidR="004B61B4">
        <w:rPr>
          <w:lang w:val="en-US"/>
        </w:rPr>
        <w:fldChar w:fldCharType="begin"/>
      </w:r>
      <w:r w:rsidR="004B61B4">
        <w:rPr>
          <w:lang w:val="en-US"/>
        </w:rPr>
        <w:instrText xml:space="preserve"> ADDIN EN.CITE &lt;EndNote&gt;&lt;Cite&gt;&lt;Author&gt;Peirce&lt;/Author&gt;&lt;Year&gt;1884&lt;/Year&gt;&lt;RecNum&gt;53&lt;/RecNum&gt;&lt;DisplayText&gt;(Peirce, 1884)&lt;/DisplayText&gt;&lt;record&gt;&lt;rec-number&gt;53&lt;/rec-number&gt;&lt;foreign-keys&gt;&lt;key app="EN" db-id="rtv2prz2p0ttw3ezv01x0raovvzvd0wfxprr"&gt;53&lt;/key&gt;&lt;/foreign-keys&gt;&lt;ref-type name="Journal Article"&gt;17&lt;/ref-type&gt;&lt;contributors&gt;&lt;authors&gt;&lt;author&gt;Peirce, Charles S.&lt;/author&gt;&lt;/authors&gt;&lt;/contributors&gt;&lt;titles&gt;&lt;title&gt;The numerical measure of the success of predictions&lt;/title&gt;&lt;secondary-title&gt;Science&lt;/secondary-title&gt;&lt;/titles&gt;&lt;periodical&gt;&lt;full-title&gt;Science&lt;/full-title&gt;&lt;/periodical&gt;&lt;pages&gt;453-454&lt;/pages&gt;&lt;volume&gt;4&lt;/volume&gt;&lt;number&gt;93&lt;/number&gt;&lt;dates&gt;&lt;year&gt;1884&lt;/year&gt;&lt;/dates&gt;&lt;urls&gt;&lt;/urls&gt;&lt;/record&gt;&lt;/Cite&gt;&lt;/EndNote&gt;</w:instrText>
      </w:r>
      <w:r w:rsidR="004B61B4">
        <w:rPr>
          <w:lang w:val="en-US"/>
        </w:rPr>
        <w:fldChar w:fldCharType="separate"/>
      </w:r>
      <w:r w:rsidR="004B61B4">
        <w:rPr>
          <w:noProof/>
          <w:lang w:val="en-US"/>
        </w:rPr>
        <w:t>(</w:t>
      </w:r>
      <w:hyperlink w:anchor="_ENREF_22" w:tooltip="Peirce, 1884 #53" w:history="1">
        <w:r w:rsidR="00BF347F">
          <w:rPr>
            <w:noProof/>
            <w:lang w:val="en-US"/>
          </w:rPr>
          <w:t>Peirce, 1884</w:t>
        </w:r>
      </w:hyperlink>
      <w:r w:rsidR="004B61B4">
        <w:rPr>
          <w:noProof/>
          <w:lang w:val="en-US"/>
        </w:rPr>
        <w:t>)</w:t>
      </w:r>
      <w:r w:rsidR="004B61B4">
        <w:rPr>
          <w:lang w:val="en-US"/>
        </w:rPr>
        <w:fldChar w:fldCharType="end"/>
      </w:r>
      <w:r>
        <w:rPr>
          <w:lang w:val="en-US"/>
        </w:rPr>
        <w:t xml:space="preserve">. It </w:t>
      </w:r>
      <w:r w:rsidRPr="00A250CB">
        <w:rPr>
          <w:lang w:val="en-US"/>
        </w:rPr>
        <w:t>was recently reintroduced as the Net Benefit (NB)</w:t>
      </w:r>
      <w:r w:rsidR="00033A6E">
        <w:rPr>
          <w:lang w:val="en-US"/>
        </w:rPr>
        <w:t xml:space="preserve"> </w:t>
      </w:r>
      <w:r w:rsidR="004B61B4">
        <w:rPr>
          <w:lang w:val="en-US"/>
        </w:rPr>
        <w:fldChar w:fldCharType="begin"/>
      </w:r>
      <w:r w:rsidR="004B61B4">
        <w:rPr>
          <w:lang w:val="en-US"/>
        </w:rPr>
        <w:instrText xml:space="preserve"> ADDIN EN.CITE &lt;EndNote&gt;&lt;Cite&gt;&lt;Author&gt;Vickers&lt;/Author&gt;&lt;Year&gt;2006&lt;/Year&gt;&lt;RecNum&gt;403&lt;/RecNum&gt;&lt;DisplayText&gt;(Vickers &amp;amp; Elkin, 2006)&lt;/DisplayText&gt;&lt;record&gt;&lt;rec-number&gt;403&lt;/rec-number&gt;&lt;foreign-keys&gt;&lt;key app="EN" db-id="s5at2da0rxdws8ew29spaefwt99szxvvfawz"&gt;403&lt;/key&gt;&lt;/foreign-keys&gt;&lt;ref-type name="Journal Article"&gt;17&lt;/ref-type&gt;&lt;contributors&gt;&lt;authors&gt;&lt;author&gt;Vickers, A. J.&lt;/author&gt;&lt;author&gt;Elkin, E. B.&lt;/author&gt;&lt;/authors&gt;&lt;/contributors&gt;&lt;auth-address&gt;Department of Epidemiology and Biostatistics, Memorial Sloan-Kettering Cancer Center, New York, USA. vickersa@mskcc.org&lt;/auth-address&gt;&lt;titles&gt;&lt;title&gt;Decision curve analysis: a novel method for evaluating prediction models&lt;/title&gt;&lt;secondary-title&gt;Med Decis Making&lt;/secondary-title&gt;&lt;/titles&gt;&lt;periodical&gt;&lt;full-title&gt;Med Decis Making&lt;/full-title&gt;&lt;/periodical&gt;&lt;pages&gt;565-74&lt;/pages&gt;&lt;volume&gt;26&lt;/volume&gt;&lt;number&gt;6&lt;/number&gt;&lt;dates&gt;&lt;year&gt;2006&lt;/year&gt;&lt;pub-dates&gt;&lt;date&gt;Nov-Dec&lt;/date&gt;&lt;/pub-dates&gt;&lt;/dates&gt;&lt;isbn&gt;0272-989X (Print)&lt;/isbn&gt;&lt;accession-num&gt;17099194&lt;/accession-num&gt;&lt;urls&gt;&lt;related-urls&gt;&lt;url&gt;http://www.ncbi.nlm.nih.gov/entrez/query.fcgi?cmd=Retrieve&amp;amp;db=PubMed&amp;amp;dopt=Citation&amp;amp;list_uids=17099194&lt;/url&gt;&lt;/related-urls&gt;&lt;/urls&gt;&lt;/record&gt;&lt;/Cite&gt;&lt;/EndNote&gt;</w:instrText>
      </w:r>
      <w:r w:rsidR="004B61B4">
        <w:rPr>
          <w:lang w:val="en-US"/>
        </w:rPr>
        <w:fldChar w:fldCharType="separate"/>
      </w:r>
      <w:r w:rsidR="004B61B4">
        <w:rPr>
          <w:noProof/>
          <w:lang w:val="en-US"/>
        </w:rPr>
        <w:t>(</w:t>
      </w:r>
      <w:hyperlink w:anchor="_ENREF_42" w:tooltip="Vickers, 2006 #403" w:history="1">
        <w:r w:rsidR="00BF347F">
          <w:rPr>
            <w:noProof/>
            <w:lang w:val="en-US"/>
          </w:rPr>
          <w:t>Vickers &amp; Elkin, 2006</w:t>
        </w:r>
      </w:hyperlink>
      <w:r w:rsidR="004B61B4">
        <w:rPr>
          <w:noProof/>
          <w:lang w:val="en-US"/>
        </w:rPr>
        <w:t>)</w:t>
      </w:r>
      <w:r w:rsidR="004B61B4">
        <w:rPr>
          <w:lang w:val="en-US"/>
        </w:rPr>
        <w:fldChar w:fldCharType="end"/>
      </w:r>
      <w:r w:rsidRPr="00A250CB">
        <w:rPr>
          <w:lang w:val="en-US"/>
        </w:rPr>
        <w:t xml:space="preserve">. For </w:t>
      </w:r>
      <w:r w:rsidRPr="00155271">
        <w:rPr>
          <w:lang w:val="en-US"/>
        </w:rPr>
        <w:t xml:space="preserve">changes in the number of true positives (TP) and false positives (FP), </w:t>
      </w:r>
      <w:r>
        <w:rPr>
          <w:rFonts w:cs="Lucida Grande"/>
          <w:color w:val="000000"/>
          <w:lang w:val="en-US"/>
        </w:rPr>
        <w:t>improvement</w:t>
      </w:r>
      <w:r w:rsidRPr="00155271">
        <w:rPr>
          <w:rFonts w:cs="Lucida Grande"/>
          <w:color w:val="000000"/>
          <w:lang w:val="en-US"/>
        </w:rPr>
        <w:t xml:space="preserve"> in</w:t>
      </w:r>
      <w:r w:rsidRPr="00155271">
        <w:rPr>
          <w:rFonts w:cs="Lucida Grande"/>
          <w:b/>
          <w:color w:val="000000"/>
          <w:lang w:val="en-US"/>
        </w:rPr>
        <w:t xml:space="preserve"> </w:t>
      </w:r>
      <w:r w:rsidRPr="00155271">
        <w:rPr>
          <w:lang w:val="en-US"/>
        </w:rPr>
        <w:t>NB is defined as</w:t>
      </w:r>
      <w:r w:rsidRPr="00A250CB">
        <w:rPr>
          <w:lang w:val="en-US"/>
        </w:rPr>
        <w:t>:</w:t>
      </w:r>
    </w:p>
    <w:p w:rsidR="00B85B9F" w:rsidRPr="00A250CB" w:rsidRDefault="00B85B9F" w:rsidP="00056D0F">
      <w:pPr>
        <w:spacing w:line="360" w:lineRule="auto"/>
        <w:ind w:firstLine="720"/>
        <w:rPr>
          <w:lang w:val="en-US"/>
        </w:rPr>
      </w:pPr>
      <w:r w:rsidRPr="00A250CB">
        <w:rPr>
          <w:rFonts w:ascii="Lucida Grande Greek" w:hAnsi="Lucida Grande Greek" w:cs="Lucida Grande Greek"/>
          <w:b/>
          <w:color w:val="000000"/>
          <w:lang w:val="en-US"/>
        </w:rPr>
        <w:t>Δ</w:t>
      </w:r>
      <w:r w:rsidRPr="00A250CB">
        <w:rPr>
          <w:lang w:val="en-US"/>
        </w:rPr>
        <w:t>NB = (</w:t>
      </w:r>
      <w:r w:rsidRPr="00A250CB">
        <w:rPr>
          <w:rFonts w:ascii="Lucida Grande Greek" w:hAnsi="Lucida Grande Greek" w:cs="Lucida Grande Greek"/>
          <w:b/>
          <w:color w:val="000000"/>
          <w:lang w:val="en-US"/>
        </w:rPr>
        <w:t>Δ</w:t>
      </w:r>
      <w:r w:rsidRPr="00A250CB">
        <w:rPr>
          <w:lang w:val="en-US"/>
        </w:rPr>
        <w:t xml:space="preserve">TP – </w:t>
      </w:r>
      <w:r w:rsidRPr="00A250CB">
        <w:rPr>
          <w:i/>
          <w:lang w:val="en-US"/>
        </w:rPr>
        <w:t>w</w:t>
      </w:r>
      <w:r w:rsidRPr="00A250CB">
        <w:rPr>
          <w:lang w:val="en-US"/>
        </w:rPr>
        <w:t xml:space="preserve"> *</w:t>
      </w:r>
      <w:r w:rsidRPr="00A250CB">
        <w:rPr>
          <w:rFonts w:ascii="Lucida Grande Greek" w:hAnsi="Lucida Grande Greek" w:cs="Lucida Grande Greek"/>
          <w:b/>
          <w:color w:val="000000"/>
          <w:lang w:val="en-US"/>
        </w:rPr>
        <w:t xml:space="preserve"> Δ</w:t>
      </w:r>
      <w:r w:rsidRPr="00A250CB">
        <w:rPr>
          <w:lang w:val="en-US"/>
        </w:rPr>
        <w:t xml:space="preserve">FP) / </w:t>
      </w:r>
      <w:r>
        <w:rPr>
          <w:lang w:val="en-US"/>
        </w:rPr>
        <w:t>number of subjects</w:t>
      </w:r>
      <w:r w:rsidRPr="00A250CB">
        <w:rPr>
          <w:lang w:val="en-US"/>
        </w:rPr>
        <w:t xml:space="preserve"> </w:t>
      </w:r>
    </w:p>
    <w:p w:rsidR="00B85B9F" w:rsidRPr="00A250CB" w:rsidRDefault="00B85B9F" w:rsidP="00E00850">
      <w:pPr>
        <w:spacing w:line="360" w:lineRule="auto"/>
        <w:rPr>
          <w:lang w:val="en-US"/>
        </w:rPr>
      </w:pPr>
      <w:r w:rsidRPr="00A250CB">
        <w:rPr>
          <w:lang w:val="en-US"/>
        </w:rPr>
        <w:t xml:space="preserve">where the weight </w:t>
      </w:r>
      <w:r w:rsidRPr="00A250CB">
        <w:rPr>
          <w:i/>
          <w:lang w:val="en-US"/>
        </w:rPr>
        <w:t>w</w:t>
      </w:r>
      <w:r w:rsidRPr="00A250CB">
        <w:rPr>
          <w:lang w:val="en-US"/>
        </w:rPr>
        <w:t xml:space="preserve"> is the odds of the decision threshold. For example, a 20%</w:t>
      </w:r>
      <w:r>
        <w:rPr>
          <w:lang w:val="en-US"/>
        </w:rPr>
        <w:t xml:space="preserve"> CHD risk</w:t>
      </w:r>
      <w:r w:rsidRPr="00A250CB">
        <w:rPr>
          <w:lang w:val="en-US"/>
        </w:rPr>
        <w:t xml:space="preserve"> threshold means </w:t>
      </w:r>
      <w:r w:rsidRPr="00A250CB">
        <w:rPr>
          <w:i/>
          <w:lang w:val="en-US"/>
        </w:rPr>
        <w:t>w</w:t>
      </w:r>
      <w:r w:rsidRPr="00A250CB">
        <w:rPr>
          <w:lang w:val="en-US"/>
        </w:rPr>
        <w:t xml:space="preserve"> = 0.2</w:t>
      </w:r>
      <w:r>
        <w:rPr>
          <w:lang w:val="en-US"/>
        </w:rPr>
        <w:t>0</w:t>
      </w:r>
      <w:r w:rsidRPr="00A250CB">
        <w:rPr>
          <w:lang w:val="en-US"/>
        </w:rPr>
        <w:t xml:space="preserve"> /</w:t>
      </w:r>
      <w:r>
        <w:rPr>
          <w:lang w:val="en-US"/>
        </w:rPr>
        <w:t xml:space="preserve"> </w:t>
      </w:r>
      <w:r w:rsidRPr="00A250CB">
        <w:rPr>
          <w:lang w:val="en-US"/>
        </w:rPr>
        <w:t>(1 – 0.2</w:t>
      </w:r>
      <w:r>
        <w:rPr>
          <w:lang w:val="en-US"/>
        </w:rPr>
        <w:t>0</w:t>
      </w:r>
      <w:r w:rsidRPr="00A250CB">
        <w:rPr>
          <w:lang w:val="en-US"/>
        </w:rPr>
        <w:t xml:space="preserve">) = 0.25. The decision threshold of 20% hence implies that we weight a FP classification 0.25 times as important as a TP classification, or that 1 more TP classification is worth 4 more FP classifications. </w:t>
      </w:r>
      <w:r w:rsidR="001438F2">
        <w:rPr>
          <w:lang w:val="en-US"/>
        </w:rPr>
        <w:t>In</w:t>
      </w:r>
      <w:r>
        <w:rPr>
          <w:lang w:val="en-US"/>
        </w:rPr>
        <w:t xml:space="preserve"> Table 3 and Figure </w:t>
      </w:r>
      <w:r w:rsidR="00F31597">
        <w:rPr>
          <w:lang w:val="en-US"/>
        </w:rPr>
        <w:t>6</w:t>
      </w:r>
      <w:r>
        <w:rPr>
          <w:lang w:val="en-US"/>
        </w:rPr>
        <w:t xml:space="preserve"> we note 11 more </w:t>
      </w:r>
      <w:r w:rsidR="001438F2">
        <w:rPr>
          <w:lang w:val="en-US"/>
        </w:rPr>
        <w:t>TP</w:t>
      </w:r>
      <w:r>
        <w:rPr>
          <w:lang w:val="en-US"/>
        </w:rPr>
        <w:t xml:space="preserve"> at the price of 5 more </w:t>
      </w:r>
      <w:r w:rsidR="001438F2">
        <w:rPr>
          <w:lang w:val="en-US"/>
        </w:rPr>
        <w:t>FP classifications</w:t>
      </w:r>
      <w:r>
        <w:rPr>
          <w:lang w:val="en-US"/>
        </w:rPr>
        <w:t xml:space="preserve">. </w:t>
      </w:r>
      <w:r w:rsidRPr="00A250CB">
        <w:rPr>
          <w:lang w:val="en-US"/>
        </w:rPr>
        <w:t>The burden of overtreatment of those without events is explicitly weighted in the NB calculation by the odds of the decision threshold 0.2</w:t>
      </w:r>
      <w:r>
        <w:rPr>
          <w:lang w:val="en-US"/>
        </w:rPr>
        <w:t xml:space="preserve">0 </w:t>
      </w:r>
      <w:r w:rsidRPr="00A250CB">
        <w:rPr>
          <w:lang w:val="en-US"/>
        </w:rPr>
        <w:t>/</w:t>
      </w:r>
      <w:r>
        <w:rPr>
          <w:lang w:val="en-US"/>
        </w:rPr>
        <w:t xml:space="preserve"> </w:t>
      </w:r>
      <w:r w:rsidRPr="00A250CB">
        <w:rPr>
          <w:lang w:val="en-US"/>
        </w:rPr>
        <w:t>(1</w:t>
      </w:r>
      <w:r>
        <w:rPr>
          <w:lang w:val="en-US"/>
        </w:rPr>
        <w:t xml:space="preserve"> </w:t>
      </w:r>
      <w:r w:rsidRPr="00A250CB">
        <w:rPr>
          <w:lang w:val="en-US"/>
        </w:rPr>
        <w:t>-</w:t>
      </w:r>
      <w:r>
        <w:rPr>
          <w:lang w:val="en-US"/>
        </w:rPr>
        <w:t xml:space="preserve"> </w:t>
      </w:r>
      <w:r w:rsidRPr="00A250CB">
        <w:rPr>
          <w:lang w:val="en-US"/>
        </w:rPr>
        <w:t>0.2</w:t>
      </w:r>
      <w:r>
        <w:rPr>
          <w:lang w:val="en-US"/>
        </w:rPr>
        <w:t>0</w:t>
      </w:r>
      <w:r w:rsidRPr="00A250CB">
        <w:rPr>
          <w:lang w:val="en-US"/>
        </w:rPr>
        <w:t>)</w:t>
      </w:r>
      <w:r>
        <w:rPr>
          <w:lang w:val="en-US"/>
        </w:rPr>
        <w:t xml:space="preserve"> </w:t>
      </w:r>
      <w:r w:rsidRPr="00A250CB">
        <w:rPr>
          <w:lang w:val="en-US"/>
        </w:rPr>
        <w:t>=</w:t>
      </w:r>
      <w:r>
        <w:rPr>
          <w:lang w:val="en-US"/>
        </w:rPr>
        <w:t xml:space="preserve"> </w:t>
      </w:r>
      <w:r w:rsidRPr="00A250CB">
        <w:rPr>
          <w:lang w:val="en-US"/>
        </w:rPr>
        <w:t xml:space="preserve">0.25. This leads to a penalty for overtreatment of 5*0.25=1.25. The </w:t>
      </w:r>
      <w:r w:rsidRPr="00A250CB">
        <w:rPr>
          <w:rFonts w:ascii="Lucida Grande Greek" w:hAnsi="Lucida Grande Greek" w:cs="Lucida Grande Greek"/>
          <w:b/>
          <w:color w:val="000000"/>
          <w:lang w:val="en-US"/>
        </w:rPr>
        <w:t>Δ</w:t>
      </w:r>
      <w:r w:rsidRPr="00A250CB">
        <w:rPr>
          <w:lang w:val="en-US"/>
        </w:rPr>
        <w:t>NB hence is (11</w:t>
      </w:r>
      <w:r>
        <w:rPr>
          <w:lang w:val="en-US"/>
        </w:rPr>
        <w:t xml:space="preserve"> </w:t>
      </w:r>
      <w:r w:rsidRPr="00A250CB">
        <w:rPr>
          <w:lang w:val="en-US"/>
        </w:rPr>
        <w:t>-</w:t>
      </w:r>
      <w:r>
        <w:rPr>
          <w:lang w:val="en-US"/>
        </w:rPr>
        <w:t xml:space="preserve"> </w:t>
      </w:r>
      <w:r w:rsidRPr="00A250CB">
        <w:rPr>
          <w:lang w:val="en-US"/>
        </w:rPr>
        <w:t>1.25)</w:t>
      </w:r>
      <w:r>
        <w:rPr>
          <w:lang w:val="en-US"/>
        </w:rPr>
        <w:t xml:space="preserve"> </w:t>
      </w:r>
      <w:r w:rsidRPr="00A250CB">
        <w:rPr>
          <w:lang w:val="en-US"/>
        </w:rPr>
        <w:t>/</w:t>
      </w:r>
      <w:r>
        <w:rPr>
          <w:lang w:val="en-US"/>
        </w:rPr>
        <w:t xml:space="preserve"> </w:t>
      </w:r>
      <w:r w:rsidRPr="00A250CB">
        <w:rPr>
          <w:lang w:val="en-US"/>
        </w:rPr>
        <w:t>3264</w:t>
      </w:r>
      <w:r>
        <w:rPr>
          <w:lang w:val="en-US"/>
        </w:rPr>
        <w:t xml:space="preserve"> </w:t>
      </w:r>
      <w:r w:rsidRPr="00A250CB">
        <w:rPr>
          <w:lang w:val="en-US"/>
        </w:rPr>
        <w:t>=</w:t>
      </w:r>
      <w:r>
        <w:rPr>
          <w:lang w:val="en-US"/>
        </w:rPr>
        <w:t xml:space="preserve"> </w:t>
      </w:r>
      <w:r w:rsidRPr="00A250CB">
        <w:rPr>
          <w:lang w:val="en-US"/>
        </w:rPr>
        <w:t>0.3%, equiv</w:t>
      </w:r>
      <w:r>
        <w:rPr>
          <w:lang w:val="en-US"/>
        </w:rPr>
        <w:t xml:space="preserve">alent to potentially identifying and treating an additional </w:t>
      </w:r>
      <w:r w:rsidRPr="00A250CB">
        <w:rPr>
          <w:lang w:val="en-US"/>
        </w:rPr>
        <w:t>3 events per 1000</w:t>
      </w:r>
      <w:r>
        <w:rPr>
          <w:lang w:val="en-US"/>
        </w:rPr>
        <w:t xml:space="preserve"> persons screened</w:t>
      </w:r>
      <w:r w:rsidRPr="00A250CB">
        <w:rPr>
          <w:lang w:val="en-US"/>
        </w:rPr>
        <w:t xml:space="preserve"> without extra overtreatment</w:t>
      </w:r>
      <w:r>
        <w:rPr>
          <w:lang w:val="en-US"/>
        </w:rPr>
        <w:t xml:space="preserve"> after the addition of HDL cholesterol to the CHD prediction model</w:t>
      </w:r>
      <w:r w:rsidRPr="00A250CB">
        <w:rPr>
          <w:lang w:val="en-US"/>
        </w:rPr>
        <w:t>.</w:t>
      </w:r>
    </w:p>
    <w:p w:rsidR="00B85B9F" w:rsidRPr="00A250CB" w:rsidRDefault="00B85B9F" w:rsidP="00E00850">
      <w:pPr>
        <w:spacing w:line="360" w:lineRule="auto"/>
        <w:rPr>
          <w:lang w:val="en-US"/>
        </w:rPr>
      </w:pPr>
      <w:r>
        <w:rPr>
          <w:lang w:val="en-US"/>
        </w:rPr>
        <w:tab/>
        <w:t>The</w:t>
      </w:r>
      <w:r w:rsidRPr="00A250CB">
        <w:rPr>
          <w:lang w:val="en-US"/>
        </w:rPr>
        <w:t xml:space="preserve"> link between a decision threshold and the relative weight of TP vs FP classification</w:t>
      </w:r>
      <w:r>
        <w:rPr>
          <w:lang w:val="en-US"/>
        </w:rPr>
        <w:t>s</w:t>
      </w:r>
      <w:r w:rsidRPr="00A250CB">
        <w:rPr>
          <w:lang w:val="en-US"/>
        </w:rPr>
        <w:t xml:space="preserve"> has a strong foundation in decision </w:t>
      </w:r>
      <w:r>
        <w:rPr>
          <w:lang w:val="en-US"/>
        </w:rPr>
        <w:t>theory</w:t>
      </w:r>
      <w:r w:rsidR="00AD197F">
        <w:rPr>
          <w:lang w:val="en-US"/>
        </w:rPr>
        <w:t xml:space="preserve"> </w:t>
      </w:r>
      <w:r w:rsidR="004B61B4">
        <w:rPr>
          <w:lang w:val="en-US"/>
        </w:rPr>
        <w:fldChar w:fldCharType="begin"/>
      </w:r>
      <w:r w:rsidR="004B61B4">
        <w:rPr>
          <w:lang w:val="en-US"/>
        </w:rPr>
        <w:instrText xml:space="preserve"> ADDIN EN.CITE &lt;EndNote&gt;&lt;Cite&gt;&lt;Author&gt;Pauker&lt;/Author&gt;&lt;Year&gt;1980&lt;/Year&gt;&lt;RecNum&gt;271&lt;/RecNum&gt;&lt;DisplayText&gt;(Pauker &amp;amp; Kassirer, 1980)&lt;/DisplayText&gt;&lt;record&gt;&lt;rec-number&gt;271&lt;/rec-number&gt;&lt;foreign-keys&gt;&lt;key app="EN" db-id="s5at2da0rxdws8ew29spaefwt99szxvvfawz"&gt;271&lt;/key&gt;&lt;/foreign-keys&gt;&lt;ref-type name="Journal Article"&gt;17&lt;/ref-type&gt;&lt;contributors&gt;&lt;authors&gt;&lt;author&gt;Pauker, S. G.&lt;/author&gt;&lt;author&gt;Kassirer, J. P.&lt;/author&gt;&lt;/authors&gt;&lt;/contributors&gt;&lt;titles&gt;&lt;title&gt;The threshold approach to clinical decision making&lt;/title&gt;&lt;secondary-title&gt;N Engl J Med&lt;/secondary-title&gt;&lt;/titles&gt;&lt;periodical&gt;&lt;full-title&gt;N Engl J Med&lt;/full-title&gt;&lt;/periodical&gt;&lt;pages&gt;1109-17&lt;/pages&gt;&lt;volume&gt;302&lt;/volume&gt;&lt;number&gt;20&lt;/number&gt;&lt;keywords&gt;&lt;keyword&gt;*Decision Making&lt;/keyword&gt;&lt;keyword&gt;*Diagnosis&lt;/keyword&gt;&lt;keyword&gt;Humans&lt;/keyword&gt;&lt;keyword&gt;Male&lt;/keyword&gt;&lt;keyword&gt;Mathematics&lt;/keyword&gt;&lt;keyword&gt;Middle Aged&lt;/keyword&gt;&lt;keyword&gt;*Models, Theoretical&lt;/keyword&gt;&lt;keyword&gt;*Probability&lt;/keyword&gt;&lt;keyword&gt;Risk&lt;/keyword&gt;&lt;keyword&gt;*Therapeutics&lt;/keyword&gt;&lt;/keywords&gt;&lt;dates&gt;&lt;year&gt;1980&lt;/year&gt;&lt;pub-dates&gt;&lt;date&gt;May 15&lt;/date&gt;&lt;/pub-dates&gt;&lt;/dates&gt;&lt;isbn&gt;0028-4793 (Print)&lt;/isbn&gt;&lt;accession-num&gt;7366635&lt;/accession-num&gt;&lt;urls&gt;&lt;related-urls&gt;&lt;url&gt;http://www.ncbi.nlm.nih.gov/entrez/query.fcgi?cmd=Retrieve&amp;amp;db=PubMed&amp;amp;dopt=Citation&amp;amp;list_uids=7366635&lt;/url&gt;&lt;/related-urls&gt;&lt;/urls&gt;&lt;/record&gt;&lt;/Cite&gt;&lt;/EndNote&gt;</w:instrText>
      </w:r>
      <w:r w:rsidR="004B61B4">
        <w:rPr>
          <w:lang w:val="en-US"/>
        </w:rPr>
        <w:fldChar w:fldCharType="separate"/>
      </w:r>
      <w:r w:rsidR="004B61B4">
        <w:rPr>
          <w:noProof/>
          <w:lang w:val="en-US"/>
        </w:rPr>
        <w:t>(</w:t>
      </w:r>
      <w:hyperlink w:anchor="_ENREF_21" w:tooltip="Pauker, 1980 #271" w:history="1">
        <w:r w:rsidR="00BF347F">
          <w:rPr>
            <w:noProof/>
            <w:lang w:val="en-US"/>
          </w:rPr>
          <w:t>Pauker &amp; Kassirer, 1980</w:t>
        </w:r>
      </w:hyperlink>
      <w:r w:rsidR="004B61B4">
        <w:rPr>
          <w:noProof/>
          <w:lang w:val="en-US"/>
        </w:rPr>
        <w:t>)</w:t>
      </w:r>
      <w:r w:rsidR="004B61B4">
        <w:rPr>
          <w:lang w:val="en-US"/>
        </w:rPr>
        <w:fldChar w:fldCharType="end"/>
      </w:r>
      <w:r w:rsidR="00AD197F">
        <w:rPr>
          <w:lang w:val="en-US"/>
        </w:rPr>
        <w:t xml:space="preserve">. </w:t>
      </w:r>
      <w:r>
        <w:rPr>
          <w:lang w:val="en-US"/>
        </w:rPr>
        <w:t>It is also used in o</w:t>
      </w:r>
      <w:r w:rsidRPr="00A250CB">
        <w:rPr>
          <w:lang w:val="en-US"/>
        </w:rPr>
        <w:t xml:space="preserve">ther recently proposed weighted summary measures </w:t>
      </w:r>
      <w:r>
        <w:rPr>
          <w:lang w:val="en-US"/>
        </w:rPr>
        <w:t>such as</w:t>
      </w:r>
      <w:r w:rsidRPr="00A250CB">
        <w:rPr>
          <w:lang w:val="en-US"/>
        </w:rPr>
        <w:t xml:space="preserve"> the </w:t>
      </w:r>
      <w:r>
        <w:rPr>
          <w:lang w:val="en-US"/>
        </w:rPr>
        <w:t xml:space="preserve">change in </w:t>
      </w:r>
      <w:r w:rsidRPr="00A250CB">
        <w:rPr>
          <w:lang w:val="en-US"/>
        </w:rPr>
        <w:t>relative utility (</w:t>
      </w:r>
      <w:r w:rsidRPr="00A250CB">
        <w:rPr>
          <w:rFonts w:ascii="Lucida Grande Greek" w:hAnsi="Lucida Grande Greek" w:cs="Lucida Grande Greek"/>
          <w:b/>
          <w:color w:val="000000"/>
          <w:lang w:val="en-US"/>
        </w:rPr>
        <w:t>Δ</w:t>
      </w:r>
      <w:r w:rsidRPr="00A250CB">
        <w:rPr>
          <w:lang w:val="en-US"/>
        </w:rPr>
        <w:t xml:space="preserve">RU) </w:t>
      </w:r>
      <w:r w:rsidR="004B61B4">
        <w:rPr>
          <w:lang w:val="en-US"/>
        </w:rPr>
        <w:fldChar w:fldCharType="begin"/>
      </w:r>
      <w:r w:rsidR="004B61B4">
        <w:rPr>
          <w:lang w:val="en-US"/>
        </w:rPr>
        <w:instrText xml:space="preserve"> ADDIN EN.CITE &lt;EndNote&gt;&lt;Cite&gt;&lt;Author&gt;Baker&lt;/Author&gt;&lt;Year&gt;2009&lt;/Year&gt;&lt;RecNum&gt;695&lt;/RecNum&gt;&lt;DisplayText&gt;(Baker, 2009)&lt;/DisplayText&gt;&lt;record&gt;&lt;rec-number&gt;695&lt;/rec-number&gt;&lt;foreign-keys&gt;&lt;key app="EN" db-id="s5at2da0rxdws8ew29spaefwt99szxvvfawz"&gt;695&lt;/key&gt;&lt;/foreign-keys&gt;&lt;ref-type name="Journal Article"&gt;17&lt;/ref-type&gt;&lt;contributors&gt;&lt;authors&gt;&lt;author&gt;Baker, S. G.&lt;/author&gt;&lt;/authors&gt;&lt;/contributors&gt;&lt;auth-address&gt;Biometry Research Group, Division of Cancer Prevention, National Cancer Institute, Bethesda, MD 20892-7354, USA. sb16i@nih.gov&lt;/auth-address&gt;&lt;titles&gt;&lt;title&gt;Putting risk prediction in perspective: relative utility curves&lt;/title&gt;&lt;secondary-title&gt;J Natl Cancer Inst&lt;/secondary-title&gt;&lt;alt-title&gt;Journal of the National Cancer Institute&lt;/alt-title&gt;&lt;/titles&gt;&lt;periodical&gt;&lt;full-title&gt;J Natl Cancer Inst&lt;/full-title&gt;&lt;/periodical&gt;&lt;pages&gt;1538-42&lt;/pages&gt;&lt;volume&gt;101&lt;/volume&gt;&lt;number&gt;22&lt;/number&gt;&lt;keywords&gt;&lt;keyword&gt;Breast Neoplasms/pathology&lt;/keyword&gt;&lt;keyword&gt;*Decision Support Techniques&lt;/keyword&gt;&lt;keyword&gt;Female&lt;/keyword&gt;&lt;keyword&gt;Humans&lt;/keyword&gt;&lt;keyword&gt;Mathematical Computing&lt;/keyword&gt;&lt;keyword&gt;*Models, Statistical&lt;/keyword&gt;&lt;keyword&gt;*Neoplasms/therapy&lt;/keyword&gt;&lt;keyword&gt;*Predictive Value of Tests&lt;/keyword&gt;&lt;keyword&gt;*ROC Curve&lt;/keyword&gt;&lt;keyword&gt;*Risk Assessment&lt;/keyword&gt;&lt;keyword&gt;Risk Factors&lt;/keyword&gt;&lt;/keywords&gt;&lt;dates&gt;&lt;year&gt;2009&lt;/year&gt;&lt;pub-dates&gt;&lt;date&gt;Nov 18&lt;/date&gt;&lt;/pub-dates&gt;&lt;/dates&gt;&lt;isbn&gt;1460-2105 (Electronic)&amp;#xD;0027-8874 (Linking)&lt;/isbn&gt;&lt;accession-num&gt;19843888&lt;/accession-num&gt;&lt;urls&gt;&lt;related-urls&gt;&lt;url&gt;http://www.ncbi.nlm.nih.gov/entrez/query.fcgi?cmd=Retrieve&amp;amp;db=PubMed&amp;amp;dopt=Citation&amp;amp;list_uids=19843888 &lt;/url&gt;&lt;/related-urls&gt;&lt;/urls&gt;&lt;language&gt;eng&lt;/language&gt;&lt;/record&gt;&lt;/Cite&gt;&lt;/EndNote&gt;</w:instrText>
      </w:r>
      <w:r w:rsidR="004B61B4">
        <w:rPr>
          <w:lang w:val="en-US"/>
        </w:rPr>
        <w:fldChar w:fldCharType="separate"/>
      </w:r>
      <w:r w:rsidR="004B61B4">
        <w:rPr>
          <w:noProof/>
          <w:lang w:val="en-US"/>
        </w:rPr>
        <w:t>(</w:t>
      </w:r>
      <w:hyperlink w:anchor="_ENREF_2" w:tooltip="Baker, 2009 #695" w:history="1">
        <w:r w:rsidR="00BF347F">
          <w:rPr>
            <w:noProof/>
            <w:lang w:val="en-US"/>
          </w:rPr>
          <w:t>Baker, 2009</w:t>
        </w:r>
      </w:hyperlink>
      <w:r w:rsidR="004B61B4">
        <w:rPr>
          <w:noProof/>
          <w:lang w:val="en-US"/>
        </w:rPr>
        <w:t>)</w:t>
      </w:r>
      <w:r w:rsidR="004B61B4">
        <w:rPr>
          <w:lang w:val="en-US"/>
        </w:rPr>
        <w:fldChar w:fldCharType="end"/>
      </w:r>
      <w:r w:rsidR="00F31597">
        <w:rPr>
          <w:lang w:val="en-US"/>
        </w:rPr>
        <w:t xml:space="preserve"> </w:t>
      </w:r>
      <w:r w:rsidRPr="00A250CB">
        <w:rPr>
          <w:lang w:val="en-US"/>
        </w:rPr>
        <w:t xml:space="preserve">and </w:t>
      </w:r>
      <w:r>
        <w:rPr>
          <w:lang w:val="en-US"/>
        </w:rPr>
        <w:t xml:space="preserve">the </w:t>
      </w:r>
      <w:r w:rsidRPr="00A250CB">
        <w:rPr>
          <w:lang w:val="en-US"/>
        </w:rPr>
        <w:t>weighted NRI (</w:t>
      </w:r>
      <w:proofErr w:type="spellStart"/>
      <w:r w:rsidRPr="00A250CB">
        <w:rPr>
          <w:lang w:val="en-US"/>
        </w:rPr>
        <w:t>wNRI</w:t>
      </w:r>
      <w:proofErr w:type="spellEnd"/>
      <w:r w:rsidRPr="00A250CB">
        <w:rPr>
          <w:lang w:val="en-US"/>
        </w:rPr>
        <w:t>)</w:t>
      </w:r>
      <w:r w:rsidR="00F31597">
        <w:rPr>
          <w:lang w:val="en-US"/>
        </w:rPr>
        <w:t xml:space="preserve"> </w:t>
      </w:r>
      <w:r w:rsidR="004B61B4">
        <w:rPr>
          <w:lang w:val="en-US"/>
        </w:rPr>
        <w:fldChar w:fldCharType="begin"/>
      </w:r>
      <w:r w:rsidR="004B61B4">
        <w:rPr>
          <w:lang w:val="en-US"/>
        </w:rPr>
        <w:instrText xml:space="preserve"> ADDIN EN.CITE &lt;EndNote&gt;&lt;Cite&gt;&lt;Author&gt;Pencina&lt;/Author&gt;&lt;Year&gt;2011&lt;/Year&gt;&lt;RecNum&gt;760&lt;/RecNum&gt;&lt;DisplayText&gt;(Pencina et al., 2011)&lt;/DisplayText&gt;&lt;record&gt;&lt;rec-number&gt;760&lt;/rec-number&gt;&lt;foreign-keys&gt;&lt;key app="EN" db-id="s5at2da0rxdws8ew29spaefwt99szxvvfawz"&gt;760&lt;/key&gt;&lt;/foreign-keys&gt;&lt;ref-type name="Journal Article"&gt;17&lt;/ref-type&gt;&lt;contributors&gt;&lt;authors&gt;&lt;author&gt;Pencina, M. J.&lt;/author&gt;&lt;author&gt;D&amp;apos;Agostino, R. B., Sr.&lt;/author&gt;&lt;author&gt;Steyerberg, E. W.&lt;/author&gt;&lt;/authors&gt;&lt;/contributors&gt;&lt;auth-address&gt;Department of Biostatistics, Boston University, 801 Massachusetts Ave, Boston, MA 02118, USA. mpencina@bu.edu&lt;/auth-address&gt;&lt;titles&gt;&lt;title&gt;Extensions of net reclassification improvement calculations to measure usefulness of new biomarkers&lt;/title&gt;&lt;secondary-title&gt;Stat Med&lt;/secondary-title&gt;&lt;/titles&gt;&lt;periodical&gt;&lt;full-title&gt;Stat Med&lt;/full-title&gt;&lt;/periodical&gt;&lt;pages&gt;11-21&lt;/pages&gt;&lt;volume&gt;30&lt;/volume&gt;&lt;number&gt;1&lt;/number&gt;&lt;edition&gt;2011/01/05&lt;/edition&gt;&lt;keywords&gt;&lt;keyword&gt;Adult&lt;/keyword&gt;&lt;keyword&gt;Aged&lt;/keyword&gt;&lt;keyword&gt;Biological Markers/*analysis&lt;/keyword&gt;&lt;keyword&gt;Case-Control Studies&lt;/keyword&gt;&lt;keyword&gt;Coronary Disease/epidemiology/metabolism&lt;/keyword&gt;&lt;keyword&gt;Female&lt;/keyword&gt;&lt;keyword&gt;Humans&lt;/keyword&gt;&lt;keyword&gt;Kaplan-Meier Estimate&lt;/keyword&gt;&lt;keyword&gt;Longitudinal Studies&lt;/keyword&gt;&lt;keyword&gt;Male&lt;/keyword&gt;&lt;keyword&gt;Middle Aged&lt;/keyword&gt;&lt;keyword&gt;*Models, Biological&lt;/keyword&gt;&lt;keyword&gt;*Models, Statistical&lt;/keyword&gt;&lt;keyword&gt;Risk Assessment/*methods&lt;/keyword&gt;&lt;/keywords&gt;&lt;dates&gt;&lt;year&gt;2011&lt;/year&gt;&lt;pub-dates&gt;&lt;date&gt;Jan 15&lt;/date&gt;&lt;/pub-dates&gt;&lt;/dates&gt;&lt;isbn&gt;1097-0258 (Electronic)&amp;#xD;0277-6715 (Linking)&lt;/isbn&gt;&lt;accession-num&gt;21204120&lt;/accession-num&gt;&lt;urls&gt;&lt;related-urls&gt;&lt;url&gt;http://www.ncbi.nlm.nih.gov/entrez/query.fcgi?cmd=Retrieve&amp;amp;db=PubMed&amp;amp;dopt=Citation&amp;amp;list_uids=21204120&lt;/url&gt;&lt;/related-urls&gt;&lt;/urls&gt;&lt;electronic-resource-num&gt;10.1002/sim.4085&lt;/electronic-resource-num&gt;&lt;language&gt;eng&lt;/language&gt;&lt;/record&gt;&lt;/Cite&gt;&lt;/EndNote&gt;</w:instrText>
      </w:r>
      <w:r w:rsidR="004B61B4">
        <w:rPr>
          <w:lang w:val="en-US"/>
        </w:rPr>
        <w:fldChar w:fldCharType="separate"/>
      </w:r>
      <w:r w:rsidR="004B61B4">
        <w:rPr>
          <w:noProof/>
          <w:lang w:val="en-US"/>
        </w:rPr>
        <w:t>(</w:t>
      </w:r>
      <w:hyperlink w:anchor="_ENREF_26" w:tooltip="Pencina, 2011 #760" w:history="1">
        <w:r w:rsidR="00BF347F">
          <w:rPr>
            <w:noProof/>
            <w:lang w:val="en-US"/>
          </w:rPr>
          <w:t>Pencina et al., 2011</w:t>
        </w:r>
      </w:hyperlink>
      <w:r w:rsidR="004B61B4">
        <w:rPr>
          <w:noProof/>
          <w:lang w:val="en-US"/>
        </w:rPr>
        <w:t>)</w:t>
      </w:r>
      <w:r w:rsidR="004B61B4">
        <w:rPr>
          <w:lang w:val="en-US"/>
        </w:rPr>
        <w:fldChar w:fldCharType="end"/>
      </w:r>
      <w:r w:rsidRPr="00A250CB">
        <w:rPr>
          <w:lang w:val="en-US"/>
        </w:rPr>
        <w:t xml:space="preserve">. In our example, the decision threshold of 20% is higher than the event rate of 5.6%, and </w:t>
      </w:r>
      <w:r w:rsidRPr="00A250CB">
        <w:rPr>
          <w:rFonts w:ascii="Lucida Grande Greek" w:hAnsi="Lucida Grande Greek" w:cs="Lucida Grande Greek"/>
          <w:b/>
          <w:color w:val="000000"/>
          <w:lang w:val="en-US"/>
        </w:rPr>
        <w:t>Δ</w:t>
      </w:r>
      <w:r w:rsidRPr="00A250CB">
        <w:rPr>
          <w:lang w:val="en-US"/>
        </w:rPr>
        <w:t>RU is defined as:</w:t>
      </w:r>
    </w:p>
    <w:p w:rsidR="00B85B9F" w:rsidRPr="00A250CB" w:rsidRDefault="00B85B9F" w:rsidP="00EA3D91">
      <w:pPr>
        <w:spacing w:line="360" w:lineRule="auto"/>
        <w:ind w:firstLine="720"/>
        <w:rPr>
          <w:lang w:val="en-US"/>
        </w:rPr>
      </w:pPr>
      <w:r w:rsidRPr="00A250CB">
        <w:rPr>
          <w:rFonts w:ascii="Lucida Grande Greek" w:hAnsi="Lucida Grande Greek" w:cs="Lucida Grande Greek"/>
          <w:b/>
          <w:color w:val="000000"/>
          <w:lang w:val="en-US"/>
        </w:rPr>
        <w:t>Δ</w:t>
      </w:r>
      <w:r w:rsidRPr="00A250CB">
        <w:rPr>
          <w:lang w:val="en-US"/>
        </w:rPr>
        <w:t xml:space="preserve">RU = </w:t>
      </w:r>
      <w:r>
        <w:rPr>
          <w:lang w:val="en-US"/>
        </w:rPr>
        <w:t>(</w:t>
      </w:r>
      <w:r w:rsidRPr="00A250CB">
        <w:rPr>
          <w:rFonts w:ascii="Lucida Grande Greek" w:hAnsi="Lucida Grande Greek" w:cs="Lucida Grande Greek"/>
          <w:b/>
          <w:color w:val="000000"/>
          <w:lang w:val="en-US"/>
        </w:rPr>
        <w:t>Δ</w:t>
      </w:r>
      <w:r w:rsidRPr="00A250CB">
        <w:rPr>
          <w:lang w:val="en-US"/>
        </w:rPr>
        <w:t xml:space="preserve">TP – </w:t>
      </w:r>
      <w:r w:rsidRPr="00A250CB">
        <w:rPr>
          <w:i/>
          <w:lang w:val="en-US"/>
        </w:rPr>
        <w:t>w</w:t>
      </w:r>
      <w:r w:rsidRPr="00A250CB">
        <w:rPr>
          <w:lang w:val="en-US"/>
        </w:rPr>
        <w:t xml:space="preserve"> * </w:t>
      </w:r>
      <w:r w:rsidRPr="00A250CB">
        <w:rPr>
          <w:rFonts w:ascii="Lucida Grande Greek" w:hAnsi="Lucida Grande Greek" w:cs="Lucida Grande Greek"/>
          <w:b/>
          <w:color w:val="000000"/>
          <w:lang w:val="en-US"/>
        </w:rPr>
        <w:t>Δ</w:t>
      </w:r>
      <w:r w:rsidRPr="00A250CB">
        <w:rPr>
          <w:lang w:val="en-US"/>
        </w:rPr>
        <w:t>FP</w:t>
      </w:r>
      <w:r>
        <w:rPr>
          <w:lang w:val="en-US"/>
        </w:rPr>
        <w:t>)</w:t>
      </w:r>
      <w:r w:rsidRPr="00A250CB">
        <w:rPr>
          <w:lang w:val="en-US"/>
        </w:rPr>
        <w:t xml:space="preserve"> / </w:t>
      </w:r>
      <w:r>
        <w:rPr>
          <w:lang w:val="en-US"/>
        </w:rPr>
        <w:t xml:space="preserve">number of </w:t>
      </w:r>
      <w:r w:rsidRPr="00A250CB">
        <w:rPr>
          <w:lang w:val="en-US"/>
        </w:rPr>
        <w:t>events</w:t>
      </w:r>
      <w:r>
        <w:rPr>
          <w:lang w:val="en-US"/>
        </w:rPr>
        <w:t>,</w:t>
      </w:r>
    </w:p>
    <w:p w:rsidR="00B85B9F" w:rsidRPr="00A250CB" w:rsidRDefault="00B85B9F" w:rsidP="00E00850">
      <w:pPr>
        <w:spacing w:line="360" w:lineRule="auto"/>
        <w:ind w:firstLine="720"/>
        <w:rPr>
          <w:lang w:val="en-US"/>
        </w:rPr>
      </w:pPr>
      <w:r>
        <w:rPr>
          <w:lang w:val="en-US"/>
        </w:rPr>
        <w:t>w</w:t>
      </w:r>
      <w:r w:rsidRPr="00A250CB">
        <w:rPr>
          <w:lang w:val="en-US"/>
        </w:rPr>
        <w:t>ith</w:t>
      </w:r>
      <w:r>
        <w:rPr>
          <w:lang w:val="en-US"/>
        </w:rPr>
        <w:t xml:space="preserve"> </w:t>
      </w:r>
      <w:r w:rsidRPr="00A250CB">
        <w:rPr>
          <w:lang w:val="en-US"/>
        </w:rPr>
        <w:t xml:space="preserve">weight </w:t>
      </w:r>
      <w:r w:rsidRPr="00A250CB">
        <w:rPr>
          <w:i/>
          <w:lang w:val="en-US"/>
        </w:rPr>
        <w:t xml:space="preserve">w </w:t>
      </w:r>
      <w:r w:rsidRPr="00A250CB">
        <w:rPr>
          <w:lang w:val="en-US"/>
        </w:rPr>
        <w:t>for the odds of the decision threshold.</w:t>
      </w:r>
      <w:r>
        <w:rPr>
          <w:lang w:val="en-US"/>
        </w:rPr>
        <w:t xml:space="preserve"> In our example </w:t>
      </w:r>
      <w:r w:rsidRPr="00A250CB">
        <w:rPr>
          <w:rFonts w:ascii="Lucida Grande Greek" w:hAnsi="Lucida Grande Greek" w:cs="Lucida Grande Greek"/>
          <w:b/>
          <w:color w:val="000000"/>
          <w:lang w:val="en-US"/>
        </w:rPr>
        <w:t>Δ</w:t>
      </w:r>
      <w:r w:rsidRPr="00A250CB">
        <w:rPr>
          <w:lang w:val="en-US"/>
        </w:rPr>
        <w:t>RU =</w:t>
      </w:r>
      <w:r>
        <w:rPr>
          <w:lang w:val="en-US"/>
        </w:rPr>
        <w:t xml:space="preserve"> (11 – 0.25 * 5) / 183 = 0.053. </w:t>
      </w:r>
      <w:r w:rsidRPr="00A250CB">
        <w:rPr>
          <w:rFonts w:ascii="Lucida Grande Greek" w:hAnsi="Lucida Grande Greek" w:cs="Lucida Grande Greek"/>
          <w:b/>
          <w:color w:val="000000"/>
          <w:lang w:val="en-US"/>
        </w:rPr>
        <w:t>Δ</w:t>
      </w:r>
      <w:r w:rsidRPr="00A250CB">
        <w:rPr>
          <w:lang w:val="en-US"/>
        </w:rPr>
        <w:t xml:space="preserve">RU focuses on the improvement </w:t>
      </w:r>
      <w:r>
        <w:rPr>
          <w:lang w:val="en-US"/>
        </w:rPr>
        <w:t xml:space="preserve">of using the prediction model to assign treatment </w:t>
      </w:r>
      <w:r w:rsidRPr="00A250CB">
        <w:rPr>
          <w:lang w:val="en-US"/>
        </w:rPr>
        <w:t>over the baseline strategy with highest NB</w:t>
      </w:r>
      <w:r>
        <w:rPr>
          <w:lang w:val="en-US"/>
        </w:rPr>
        <w:t>,</w:t>
      </w:r>
      <w:r w:rsidR="00033A6E">
        <w:rPr>
          <w:lang w:val="en-US"/>
        </w:rPr>
        <w:t xml:space="preserve"> </w:t>
      </w:r>
      <w:r w:rsidR="00F31597">
        <w:rPr>
          <w:lang w:val="en-US"/>
        </w:rPr>
        <w:t xml:space="preserve">either treat all or treat none </w:t>
      </w:r>
      <w:r w:rsidR="004B61B4">
        <w:rPr>
          <w:lang w:val="en-US"/>
        </w:rPr>
        <w:fldChar w:fldCharType="begin"/>
      </w:r>
      <w:r w:rsidR="004B61B4">
        <w:rPr>
          <w:lang w:val="en-US"/>
        </w:rPr>
        <w:instrText xml:space="preserve"> ADDIN EN.CITE &lt;EndNote&gt;&lt;Cite&gt;&lt;Author&gt;Baker&lt;/Author&gt;&lt;Year&gt;2009&lt;/Year&gt;&lt;RecNum&gt;695&lt;/RecNum&gt;&lt;DisplayText&gt;(Baker, 2009)&lt;/DisplayText&gt;&lt;record&gt;&lt;rec-number&gt;695&lt;/rec-number&gt;&lt;foreign-keys&gt;&lt;key app="EN" db-id="s5at2da0rxdws8ew29spaefwt99szxvvfawz"&gt;695&lt;/key&gt;&lt;/foreign-keys&gt;&lt;ref-type name="Journal Article"&gt;17&lt;/ref-type&gt;&lt;contributors&gt;&lt;authors&gt;&lt;author&gt;Baker, S. G.&lt;/author&gt;&lt;/authors&gt;&lt;/contributors&gt;&lt;auth-address&gt;Biometry Research Group, Division of Cancer Prevention, National Cancer Institute, Bethesda, MD 20892-7354, USA. sb16i@nih.gov&lt;/auth-address&gt;&lt;titles&gt;&lt;title&gt;Putting risk prediction in perspective: relative utility curves&lt;/title&gt;&lt;secondary-title&gt;J Natl Cancer Inst&lt;/secondary-title&gt;&lt;alt-title&gt;Journal of the National Cancer Institute&lt;/alt-title&gt;&lt;/titles&gt;&lt;periodical&gt;&lt;full-title&gt;J Natl Cancer Inst&lt;/full-title&gt;&lt;/periodical&gt;&lt;pages&gt;1538-42&lt;/pages&gt;&lt;volume&gt;101&lt;/volume&gt;&lt;number&gt;22&lt;/number&gt;&lt;keywords&gt;&lt;keyword&gt;Breast Neoplasms/pathology&lt;/keyword&gt;&lt;keyword&gt;*Decision Support Techniques&lt;/keyword&gt;&lt;keyword&gt;Female&lt;/keyword&gt;&lt;keyword&gt;Humans&lt;/keyword&gt;&lt;keyword&gt;Mathematical Computing&lt;/keyword&gt;&lt;keyword&gt;*Models, Statistical&lt;/keyword&gt;&lt;keyword&gt;*Neoplasms/therapy&lt;/keyword&gt;&lt;keyword&gt;*Predictive Value of Tests&lt;/keyword&gt;&lt;keyword&gt;*ROC Curve&lt;/keyword&gt;&lt;keyword&gt;*Risk Assessment&lt;/keyword&gt;&lt;keyword&gt;Risk Factors&lt;/keyword&gt;&lt;/keywords&gt;&lt;dates&gt;&lt;year&gt;2009&lt;/year&gt;&lt;pub-dates&gt;&lt;date&gt;Nov 18&lt;/date&gt;&lt;/pub-dates&gt;&lt;/dates&gt;&lt;isbn&gt;1460-2105 (Electronic)&amp;#xD;0027-8874 (Linking)&lt;/isbn&gt;&lt;accession-num&gt;19843888&lt;/accession-num&gt;&lt;urls&gt;&lt;related-urls&gt;&lt;url&gt;http://www.ncbi.nlm.nih.gov/entrez/query.fcgi?cmd=Retrieve&amp;amp;db=PubMed&amp;amp;dopt=Citation&amp;amp;list_uids=19843888 &lt;/url&gt;&lt;/related-urls&gt;&lt;/urls&gt;&lt;language&gt;eng&lt;/language&gt;&lt;/record&gt;&lt;/Cite&gt;&lt;/EndNote&gt;</w:instrText>
      </w:r>
      <w:r w:rsidR="004B61B4">
        <w:rPr>
          <w:lang w:val="en-US"/>
        </w:rPr>
        <w:fldChar w:fldCharType="separate"/>
      </w:r>
      <w:r w:rsidR="004B61B4">
        <w:rPr>
          <w:noProof/>
          <w:lang w:val="en-US"/>
        </w:rPr>
        <w:t>(</w:t>
      </w:r>
      <w:hyperlink w:anchor="_ENREF_2" w:tooltip="Baker, 2009 #695" w:history="1">
        <w:r w:rsidR="00BF347F">
          <w:rPr>
            <w:noProof/>
            <w:lang w:val="en-US"/>
          </w:rPr>
          <w:t>Baker, 2009</w:t>
        </w:r>
      </w:hyperlink>
      <w:r w:rsidR="004B61B4">
        <w:rPr>
          <w:noProof/>
          <w:lang w:val="en-US"/>
        </w:rPr>
        <w:t>)</w:t>
      </w:r>
      <w:r w:rsidR="004B61B4">
        <w:rPr>
          <w:lang w:val="en-US"/>
        </w:rPr>
        <w:fldChar w:fldCharType="end"/>
      </w:r>
      <w:r w:rsidR="00F31597">
        <w:rPr>
          <w:lang w:val="en-US"/>
        </w:rPr>
        <w:t xml:space="preserve">. </w:t>
      </w:r>
      <w:r w:rsidRPr="00A250CB">
        <w:rPr>
          <w:lang w:val="en-US"/>
        </w:rPr>
        <w:t>If the decision threshold is higher than the event rate,</w:t>
      </w:r>
      <w:r>
        <w:rPr>
          <w:lang w:val="en-US"/>
        </w:rPr>
        <w:t xml:space="preserve"> as in our example,</w:t>
      </w:r>
      <w:r w:rsidRPr="00A250CB">
        <w:rPr>
          <w:lang w:val="en-US"/>
        </w:rPr>
        <w:t xml:space="preserve"> this means that RU </w:t>
      </w:r>
      <w:r>
        <w:rPr>
          <w:lang w:val="en-US"/>
        </w:rPr>
        <w:t>compares to</w:t>
      </w:r>
      <w:r w:rsidRPr="00A250CB">
        <w:rPr>
          <w:lang w:val="en-US"/>
        </w:rPr>
        <w:t xml:space="preserve"> treat none. Furthermore, the </w:t>
      </w:r>
      <w:r w:rsidRPr="00A250CB">
        <w:rPr>
          <w:rFonts w:ascii="Lucida Grande Greek" w:hAnsi="Lucida Grande Greek" w:cs="Lucida Grande Greek"/>
          <w:b/>
          <w:color w:val="000000"/>
          <w:lang w:val="en-US"/>
        </w:rPr>
        <w:t>Δ</w:t>
      </w:r>
      <w:r w:rsidRPr="00A250CB">
        <w:rPr>
          <w:lang w:val="en-US"/>
        </w:rPr>
        <w:t xml:space="preserve">RU divides the obtained improvement by the maximal </w:t>
      </w:r>
      <w:r w:rsidRPr="00A250CB">
        <w:rPr>
          <w:lang w:val="en-US"/>
        </w:rPr>
        <w:lastRenderedPageBreak/>
        <w:t>improvement</w:t>
      </w:r>
      <w:r>
        <w:rPr>
          <w:lang w:val="en-US"/>
        </w:rPr>
        <w:t>, which is the situation where treatment would be assigned to all individuals that develop the outcome of interest and to none without</w:t>
      </w:r>
      <w:r w:rsidRPr="00A250CB">
        <w:rPr>
          <w:lang w:val="en-US"/>
        </w:rPr>
        <w:t xml:space="preserve">. The relation between </w:t>
      </w:r>
      <w:r w:rsidRPr="00A250CB">
        <w:rPr>
          <w:rFonts w:ascii="Lucida Grande Greek" w:hAnsi="Lucida Grande Greek" w:cs="Lucida Grande Greek"/>
          <w:b/>
          <w:color w:val="000000"/>
          <w:lang w:val="en-US"/>
        </w:rPr>
        <w:t>Δ</w:t>
      </w:r>
      <w:r w:rsidRPr="00A250CB">
        <w:rPr>
          <w:lang w:val="en-US"/>
        </w:rPr>
        <w:t xml:space="preserve">RU and </w:t>
      </w:r>
      <w:r w:rsidRPr="00A250CB">
        <w:rPr>
          <w:rFonts w:ascii="Lucida Grande Greek" w:hAnsi="Lucida Grande Greek" w:cs="Lucida Grande Greek"/>
          <w:b/>
          <w:color w:val="000000"/>
          <w:lang w:val="en-US"/>
        </w:rPr>
        <w:t>Δ</w:t>
      </w:r>
      <w:r w:rsidRPr="00A250CB">
        <w:rPr>
          <w:lang w:val="en-US"/>
        </w:rPr>
        <w:t>NB is:</w:t>
      </w:r>
      <w:r w:rsidRPr="00A250CB">
        <w:rPr>
          <w:lang w:val="en-US"/>
        </w:rPr>
        <w:tab/>
      </w:r>
      <w:r w:rsidRPr="00A250CB">
        <w:rPr>
          <w:rFonts w:ascii="Lucida Grande Greek" w:hAnsi="Lucida Grande Greek" w:cs="Lucida Grande Greek"/>
          <w:b/>
          <w:color w:val="000000"/>
          <w:lang w:val="en-US"/>
        </w:rPr>
        <w:t>Δ</w:t>
      </w:r>
      <w:r w:rsidRPr="00A250CB">
        <w:rPr>
          <w:lang w:val="en-US"/>
        </w:rPr>
        <w:t xml:space="preserve">RU = </w:t>
      </w:r>
      <w:r w:rsidRPr="00A250CB">
        <w:rPr>
          <w:rFonts w:ascii="Lucida Grande Greek" w:hAnsi="Lucida Grande Greek" w:cs="Lucida Grande Greek"/>
          <w:b/>
          <w:color w:val="000000"/>
          <w:lang w:val="en-US"/>
        </w:rPr>
        <w:t>Δ</w:t>
      </w:r>
      <w:r w:rsidRPr="00A250CB">
        <w:rPr>
          <w:lang w:val="en-US"/>
        </w:rPr>
        <w:t>NB / event rate</w:t>
      </w:r>
      <w:r w:rsidR="001438F2">
        <w:rPr>
          <w:lang w:val="en-US"/>
        </w:rPr>
        <w:t>, in this situ</w:t>
      </w:r>
      <w:r w:rsidR="00033A6E">
        <w:rPr>
          <w:lang w:val="en-US"/>
        </w:rPr>
        <w:t xml:space="preserve">ation of threshold &gt; event rate </w:t>
      </w:r>
      <w:r w:rsidR="004B61B4">
        <w:rPr>
          <w:lang w:val="en-US"/>
        </w:rPr>
        <w:fldChar w:fldCharType="begin"/>
      </w:r>
      <w:r w:rsidR="004B61B4">
        <w:rPr>
          <w:lang w:val="en-US"/>
        </w:rPr>
        <w:instrText xml:space="preserve"> ADDIN EN.CITE &lt;EndNote&gt;&lt;Cite&gt;&lt;Author&gt;Van Calster&lt;/Author&gt;&lt;Year&gt;2013&lt;/Year&gt;&lt;RecNum&gt;877&lt;/RecNum&gt;&lt;DisplayText&gt;(Van Calster et al., 2013)&lt;/DisplayText&gt;&lt;record&gt;&lt;rec-number&gt;877&lt;/rec-number&gt;&lt;foreign-keys&gt;&lt;key app="EN" db-id="s5at2da0rxdws8ew29spaefwt99szxvvfawz"&gt;877&lt;/key&gt;&lt;/foreign-keys&gt;&lt;ref-type name="Journal Article"&gt;17&lt;/ref-type&gt;&lt;contributors&gt;&lt;authors&gt;&lt;author&gt;Van Calster, B.&lt;/author&gt;&lt;author&gt;Vickers, A. J.&lt;/author&gt;&lt;author&gt;Pencina, M. J.&lt;/author&gt;&lt;author&gt;Baker, S. G.&lt;/author&gt;&lt;author&gt;Timmerman, D.&lt;/author&gt;&lt;author&gt;Steyerberg, E. W.&lt;/author&gt;&lt;/authors&gt;&lt;/contributors&gt;&lt;auth-address&gt;Department of Development and Regeneration, KU Leuven-University of Leuven, Leuven, Belgium. ben.vancalster@med.kuleuven.be&lt;/auth-address&gt;&lt;titles&gt;&lt;title&gt;Evaluation of markers and risk prediction models: overview of relationships between NRI and decision-analytic measures&lt;/title&gt;&lt;secondary-title&gt;Med Decis Making&lt;/secondary-title&gt;&lt;/titles&gt;&lt;periodical&gt;&lt;full-title&gt;Med Decis Making&lt;/full-title&gt;&lt;/periodical&gt;&lt;pages&gt;490-501&lt;/pages&gt;&lt;volume&gt;33&lt;/volume&gt;&lt;number&gt;4&lt;/number&gt;&lt;edition&gt;2013/01/15&lt;/edition&gt;&lt;keywords&gt;&lt;keyword&gt;Calibration&lt;/keyword&gt;&lt;keyword&gt;*Decision Support Techniques&lt;/keyword&gt;&lt;keyword&gt;Female&lt;/keyword&gt;&lt;keyword&gt;Humans&lt;/keyword&gt;&lt;keyword&gt;*Models, Theoretical&lt;/keyword&gt;&lt;keyword&gt;Ovarian Neoplasms/diagnosis&lt;/keyword&gt;&lt;keyword&gt;ROC Curve&lt;/keyword&gt;&lt;keyword&gt;Risk&lt;/keyword&gt;&lt;keyword&gt;Tumor Markers, Biological/blood&lt;/keyword&gt;&lt;/keywords&gt;&lt;dates&gt;&lt;year&gt;2013&lt;/year&gt;&lt;pub-dates&gt;&lt;date&gt;May&lt;/date&gt;&lt;/pub-dates&gt;&lt;/dates&gt;&lt;isbn&gt;1552-681X (Electronic)&amp;#xD;0272-989X (Linking)&lt;/isbn&gt;&lt;accession-num&gt;23313931&lt;/accession-num&gt;&lt;urls&gt;&lt;related-urls&gt;&lt;url&gt;http://www.ncbi.nlm.nih.gov/pubmed/23313931&lt;/url&gt;&lt;/related-urls&gt;&lt;/urls&gt;&lt;electronic-resource-num&gt;0272989X12470757 [pii]&amp;#xD;10.1177/0272989X12470757&lt;/electronic-resource-num&gt;&lt;language&gt;eng&lt;/language&gt;&lt;/record&gt;&lt;/Cite&gt;&lt;/EndNote&gt;</w:instrText>
      </w:r>
      <w:r w:rsidR="004B61B4">
        <w:rPr>
          <w:lang w:val="en-US"/>
        </w:rPr>
        <w:fldChar w:fldCharType="separate"/>
      </w:r>
      <w:r w:rsidR="004B61B4">
        <w:rPr>
          <w:noProof/>
          <w:lang w:val="en-US"/>
        </w:rPr>
        <w:t>(</w:t>
      </w:r>
      <w:hyperlink w:anchor="_ENREF_40" w:tooltip="Van Calster, 2013 #877" w:history="1">
        <w:r w:rsidR="00BF347F">
          <w:rPr>
            <w:noProof/>
            <w:lang w:val="en-US"/>
          </w:rPr>
          <w:t>Van Calster et al., 2013</w:t>
        </w:r>
      </w:hyperlink>
      <w:r w:rsidR="004B61B4">
        <w:rPr>
          <w:noProof/>
          <w:lang w:val="en-US"/>
        </w:rPr>
        <w:t>)</w:t>
      </w:r>
      <w:r w:rsidR="004B61B4">
        <w:rPr>
          <w:lang w:val="en-US"/>
        </w:rPr>
        <w:fldChar w:fldCharType="end"/>
      </w:r>
      <w:r w:rsidR="00AD197F">
        <w:rPr>
          <w:lang w:val="en-US"/>
        </w:rPr>
        <w:t>.</w:t>
      </w:r>
      <w:r w:rsidR="00033A6E" w:rsidRPr="00033A6E">
        <w:rPr>
          <w:lang w:val="en-US"/>
        </w:rPr>
        <w:t xml:space="preserve"> </w:t>
      </w:r>
      <w:r w:rsidRPr="00A250CB">
        <w:rPr>
          <w:rFonts w:ascii="Lucida Grande Greek" w:hAnsi="Lucida Grande Greek" w:cs="Lucida Grande Greek"/>
          <w:b/>
          <w:color w:val="000000"/>
          <w:lang w:val="en-US"/>
        </w:rPr>
        <w:t>Δ</w:t>
      </w:r>
      <w:r w:rsidRPr="00A250CB">
        <w:rPr>
          <w:lang w:val="en-US"/>
        </w:rPr>
        <w:t>NB consider</w:t>
      </w:r>
      <w:r>
        <w:rPr>
          <w:lang w:val="en-US"/>
        </w:rPr>
        <w:t>s</w:t>
      </w:r>
      <w:r w:rsidRPr="00A250CB">
        <w:rPr>
          <w:lang w:val="en-US"/>
        </w:rPr>
        <w:t xml:space="preserve"> </w:t>
      </w:r>
      <w:r>
        <w:rPr>
          <w:lang w:val="en-US"/>
        </w:rPr>
        <w:t xml:space="preserve">the </w:t>
      </w:r>
      <w:r w:rsidRPr="00A250CB">
        <w:rPr>
          <w:lang w:val="en-US"/>
        </w:rPr>
        <w:t>utility</w:t>
      </w:r>
      <w:r>
        <w:rPr>
          <w:lang w:val="en-US"/>
        </w:rPr>
        <w:t xml:space="preserve"> of the addition of a novel marker</w:t>
      </w:r>
      <w:r w:rsidRPr="00A250CB">
        <w:rPr>
          <w:lang w:val="en-US"/>
        </w:rPr>
        <w:t xml:space="preserve"> on an absolute scale, while </w:t>
      </w:r>
      <w:r w:rsidRPr="00A250CB">
        <w:rPr>
          <w:rFonts w:ascii="Lucida Grande Greek" w:hAnsi="Lucida Grande Greek" w:cs="Lucida Grande Greek"/>
          <w:b/>
          <w:color w:val="000000"/>
          <w:lang w:val="en-US"/>
        </w:rPr>
        <w:t>Δ</w:t>
      </w:r>
      <w:r w:rsidRPr="00A250CB">
        <w:rPr>
          <w:lang w:val="en-US"/>
        </w:rPr>
        <w:t>RU considers</w:t>
      </w:r>
      <w:r>
        <w:rPr>
          <w:lang w:val="en-US"/>
        </w:rPr>
        <w:t xml:space="preserve"> this</w:t>
      </w:r>
      <w:r w:rsidRPr="00A250CB">
        <w:rPr>
          <w:lang w:val="en-US"/>
        </w:rPr>
        <w:t xml:space="preserve"> utility relative to the maximum as defined by the event rate.</w:t>
      </w:r>
    </w:p>
    <w:p w:rsidR="00B85B9F" w:rsidRDefault="00B85B9F" w:rsidP="00F21F6B">
      <w:pPr>
        <w:spacing w:line="360" w:lineRule="auto"/>
        <w:ind w:firstLine="720"/>
        <w:rPr>
          <w:lang w:val="en-US"/>
        </w:rPr>
      </w:pPr>
      <w:r w:rsidRPr="00A250CB">
        <w:rPr>
          <w:lang w:val="en-US"/>
        </w:rPr>
        <w:t xml:space="preserve">Finally, the weighted version of NRI only differs from </w:t>
      </w:r>
      <w:r w:rsidRPr="00A250CB">
        <w:rPr>
          <w:rFonts w:ascii="Lucida Grande Greek" w:hAnsi="Lucida Grande Greek" w:cs="Lucida Grande Greek"/>
          <w:b/>
          <w:color w:val="000000"/>
          <w:lang w:val="en-US"/>
        </w:rPr>
        <w:t>Δ</w:t>
      </w:r>
      <w:r w:rsidRPr="00A250CB">
        <w:rPr>
          <w:lang w:val="en-US"/>
        </w:rPr>
        <w:t>NB by a scaling factor</w:t>
      </w:r>
      <w:r>
        <w:rPr>
          <w:lang w:val="en-US"/>
        </w:rPr>
        <w:t xml:space="preserve">: </w:t>
      </w:r>
      <w:r w:rsidRPr="00A250CB">
        <w:rPr>
          <w:rFonts w:ascii="Lucida Grande Greek" w:hAnsi="Lucida Grande Greek" w:cs="Lucida Grande Greek"/>
          <w:b/>
          <w:color w:val="000000"/>
          <w:lang w:val="en-US"/>
        </w:rPr>
        <w:t>Δ</w:t>
      </w:r>
      <w:r w:rsidRPr="00A250CB">
        <w:rPr>
          <w:lang w:val="en-US"/>
        </w:rPr>
        <w:t>NB</w:t>
      </w:r>
      <w:r>
        <w:rPr>
          <w:lang w:val="en-US"/>
        </w:rPr>
        <w:t xml:space="preserve"> is usually expressed in units of savings that result from a correct classification, whereas </w:t>
      </w:r>
      <w:proofErr w:type="spellStart"/>
      <w:r w:rsidRPr="00A250CB">
        <w:rPr>
          <w:lang w:val="en-US"/>
        </w:rPr>
        <w:t>wNRI</w:t>
      </w:r>
      <w:proofErr w:type="spellEnd"/>
      <w:r w:rsidRPr="00A250CB">
        <w:rPr>
          <w:lang w:val="en-US"/>
        </w:rPr>
        <w:t xml:space="preserve"> </w:t>
      </w:r>
      <w:r>
        <w:rPr>
          <w:lang w:val="en-US"/>
        </w:rPr>
        <w:t xml:space="preserve">uses the savings in whatever unit is selected. </w:t>
      </w:r>
    </w:p>
    <w:p w:rsidR="00B85B9F" w:rsidRDefault="00B85B9F" w:rsidP="00F21F6B">
      <w:pPr>
        <w:spacing w:line="360" w:lineRule="auto"/>
        <w:ind w:firstLine="720"/>
        <w:rPr>
          <w:lang w:val="en-US"/>
        </w:rPr>
      </w:pPr>
      <w:r w:rsidRPr="00A250CB">
        <w:rPr>
          <w:lang w:val="en-US"/>
        </w:rPr>
        <w:t xml:space="preserve">In our example, a 20% </w:t>
      </w:r>
      <w:r>
        <w:rPr>
          <w:lang w:val="en-US"/>
        </w:rPr>
        <w:t xml:space="preserve">CHD risk </w:t>
      </w:r>
      <w:r w:rsidRPr="00A250CB">
        <w:rPr>
          <w:lang w:val="en-US"/>
        </w:rPr>
        <w:t xml:space="preserve">decision threshold leads to </w:t>
      </w:r>
      <w:r w:rsidRPr="00A250CB">
        <w:rPr>
          <w:rFonts w:ascii="Lucida Grande Greek" w:hAnsi="Lucida Grande Greek" w:cs="Lucida Grande Greek"/>
          <w:b/>
          <w:color w:val="000000"/>
          <w:lang w:val="en-US"/>
        </w:rPr>
        <w:t>Δ</w:t>
      </w:r>
      <w:r w:rsidRPr="00A250CB">
        <w:rPr>
          <w:lang w:val="en-US"/>
        </w:rPr>
        <w:t>NB =0.3%, which can be interpreted as that prediction with HDL</w:t>
      </w:r>
      <w:r>
        <w:rPr>
          <w:lang w:val="en-US"/>
        </w:rPr>
        <w:t xml:space="preserve"> cholesterol </w:t>
      </w:r>
      <w:r w:rsidRPr="00A250CB">
        <w:rPr>
          <w:lang w:val="en-US"/>
        </w:rPr>
        <w:t xml:space="preserve">increases the </w:t>
      </w:r>
      <w:r>
        <w:rPr>
          <w:lang w:val="en-US"/>
        </w:rPr>
        <w:t xml:space="preserve">fraction of </w:t>
      </w:r>
      <w:r w:rsidRPr="00A250CB">
        <w:rPr>
          <w:lang w:val="en-US"/>
        </w:rPr>
        <w:t>true positive</w:t>
      </w:r>
      <w:r>
        <w:rPr>
          <w:lang w:val="en-US"/>
        </w:rPr>
        <w:t>s identified</w:t>
      </w:r>
      <w:r w:rsidRPr="00A250CB">
        <w:rPr>
          <w:lang w:val="en-US"/>
        </w:rPr>
        <w:t xml:space="preserve"> </w:t>
      </w:r>
      <w:r>
        <w:rPr>
          <w:lang w:val="en-US"/>
        </w:rPr>
        <w:t xml:space="preserve">in the population </w:t>
      </w:r>
      <w:r w:rsidRPr="00A250CB">
        <w:rPr>
          <w:lang w:val="en-US"/>
        </w:rPr>
        <w:t xml:space="preserve">by </w:t>
      </w:r>
      <w:r>
        <w:rPr>
          <w:lang w:val="en-US"/>
        </w:rPr>
        <w:t>3 per 1000,</w:t>
      </w:r>
      <w:r w:rsidRPr="00A250CB">
        <w:rPr>
          <w:lang w:val="en-US"/>
        </w:rPr>
        <w:t xml:space="preserve"> without</w:t>
      </w:r>
      <w:r>
        <w:rPr>
          <w:lang w:val="en-US"/>
        </w:rPr>
        <w:t xml:space="preserve"> a</w:t>
      </w:r>
      <w:r w:rsidRPr="00A250CB">
        <w:rPr>
          <w:lang w:val="en-US"/>
        </w:rPr>
        <w:t xml:space="preserve"> change in false positives. </w:t>
      </w:r>
      <w:r w:rsidRPr="00A250CB">
        <w:rPr>
          <w:rFonts w:ascii="Lucida Grande Greek" w:hAnsi="Lucida Grande Greek" w:cs="Lucida Grande Greek"/>
          <w:b/>
          <w:color w:val="000000"/>
          <w:lang w:val="en-US"/>
        </w:rPr>
        <w:t>Δ</w:t>
      </w:r>
      <w:r>
        <w:rPr>
          <w:lang w:val="en-US"/>
        </w:rPr>
        <w:t>RU = 5.3%, which indicates a 5.3</w:t>
      </w:r>
      <w:r w:rsidRPr="00A250CB">
        <w:rPr>
          <w:lang w:val="en-US"/>
        </w:rPr>
        <w:t>% relative gain in utility compared to the alternative of treating none.</w:t>
      </w:r>
      <w:r w:rsidR="001438F2">
        <w:rPr>
          <w:lang w:val="en-US"/>
        </w:rPr>
        <w:t xml:space="preserve"> If we would a</w:t>
      </w:r>
      <w:r>
        <w:rPr>
          <w:lang w:val="en-US"/>
        </w:rPr>
        <w:t>s</w:t>
      </w:r>
      <w:r w:rsidR="001438F2">
        <w:rPr>
          <w:lang w:val="en-US"/>
        </w:rPr>
        <w:t>sume</w:t>
      </w:r>
      <w:r>
        <w:rPr>
          <w:lang w:val="en-US"/>
        </w:rPr>
        <w:t xml:space="preserve"> that correct identification of a patient at risk of a CVD event results in savings of $100,000</w:t>
      </w:r>
      <w:r w:rsidR="001438F2">
        <w:rPr>
          <w:lang w:val="en-US"/>
        </w:rPr>
        <w:t>,</w:t>
      </w:r>
      <w:r>
        <w:rPr>
          <w:lang w:val="en-US"/>
        </w:rPr>
        <w:t xml:space="preserve"> whereas avoiding unnecessary treatment with statins saves $25,000</w:t>
      </w:r>
      <w:r w:rsidR="001438F2">
        <w:rPr>
          <w:lang w:val="en-US"/>
        </w:rPr>
        <w:t>,</w:t>
      </w:r>
      <w:r>
        <w:rPr>
          <w:lang w:val="en-US"/>
        </w:rPr>
        <w:t xml:space="preserve"> we obtain </w:t>
      </w:r>
      <w:proofErr w:type="spellStart"/>
      <w:r w:rsidRPr="00A250CB">
        <w:rPr>
          <w:lang w:val="en-US"/>
        </w:rPr>
        <w:t>wNRI</w:t>
      </w:r>
      <w:proofErr w:type="spellEnd"/>
      <w:r>
        <w:rPr>
          <w:lang w:val="en-US"/>
        </w:rPr>
        <w:t xml:space="preserve"> </w:t>
      </w:r>
      <w:r w:rsidRPr="00A250CB">
        <w:rPr>
          <w:lang w:val="en-US"/>
        </w:rPr>
        <w:t>=</w:t>
      </w:r>
      <w:r>
        <w:rPr>
          <w:lang w:val="en-US"/>
        </w:rPr>
        <w:t xml:space="preserve"> $300 of average savings per person</w:t>
      </w:r>
      <w:r w:rsidR="00524154">
        <w:rPr>
          <w:lang w:val="en-US"/>
        </w:rPr>
        <w:t xml:space="preserve"> (0.3%*$100,00)</w:t>
      </w:r>
      <w:r>
        <w:rPr>
          <w:lang w:val="en-US"/>
        </w:rPr>
        <w:t xml:space="preserve">. </w:t>
      </w:r>
    </w:p>
    <w:p w:rsidR="00B85B9F" w:rsidRDefault="00B85B9F" w:rsidP="00655373">
      <w:pPr>
        <w:spacing w:line="360" w:lineRule="auto"/>
        <w:ind w:firstLine="720"/>
        <w:rPr>
          <w:lang w:val="en-US"/>
        </w:rPr>
      </w:pPr>
      <w:r>
        <w:rPr>
          <w:lang w:val="en-US"/>
        </w:rPr>
        <w:t>All decision analytic measures can be used to calculate the “test tradeoff”, which indicates in how many persons the marker needs to be measured for a net increase in one true positive classification (i.e. identifying one additional person with the event as high risk who thereby qualifies for treatment)</w:t>
      </w:r>
      <w:r w:rsidR="00F31597">
        <w:rPr>
          <w:lang w:val="en-US"/>
        </w:rPr>
        <w:t xml:space="preserve"> </w:t>
      </w:r>
      <w:r w:rsidR="004B61B4">
        <w:rPr>
          <w:lang w:val="en-US"/>
        </w:rPr>
        <w:fldChar w:fldCharType="begin"/>
      </w:r>
      <w:r w:rsidR="004B61B4">
        <w:rPr>
          <w:lang w:val="en-US"/>
        </w:rPr>
        <w:instrText xml:space="preserve"> ADDIN EN.CITE &lt;EndNote&gt;&lt;Cite&gt;&lt;Author&gt;Baker&lt;/Author&gt;&lt;Year&gt;2012&lt;/Year&gt;&lt;RecNum&gt;828&lt;/RecNum&gt;&lt;DisplayText&gt;(Baker et al., 2012)&lt;/DisplayText&gt;&lt;record&gt;&lt;rec-number&gt;828&lt;/rec-number&gt;&lt;foreign-keys&gt;&lt;key app="EN" db-id="s5at2da0rxdws8ew29spaefwt99szxvvfawz"&gt;828&lt;/key&gt;&lt;/foreign-keys&gt;&lt;ref-type name="Journal Article"&gt;17&lt;/ref-type&gt;&lt;contributors&gt;&lt;authors&gt;&lt;author&gt;Baker, S. G.&lt;/author&gt;&lt;author&gt;Van Calster, B.&lt;/author&gt;&lt;author&gt;Steyerberg, E. W.&lt;/author&gt;&lt;/authors&gt;&lt;/contributors&gt;&lt;titles&gt;&lt;title&gt;Evaluating a new marker for risk prediction using the test tradeoff: an update&lt;/title&gt;&lt;secondary-title&gt;Int J Biostat&lt;/secondary-title&gt;&lt;/titles&gt;&lt;periodical&gt;&lt;full-title&gt;Int J Biostat&lt;/full-title&gt;&lt;/periodical&gt;&lt;volume&gt;8&lt;/volume&gt;&lt;number&gt;1&lt;/number&gt;&lt;dates&gt;&lt;year&gt;2012&lt;/year&gt;&lt;/dates&gt;&lt;urls&gt;&lt;/urls&gt;&lt;/record&gt;&lt;/Cite&gt;&lt;/EndNote&gt;</w:instrText>
      </w:r>
      <w:r w:rsidR="004B61B4">
        <w:rPr>
          <w:lang w:val="en-US"/>
        </w:rPr>
        <w:fldChar w:fldCharType="separate"/>
      </w:r>
      <w:r w:rsidR="004B61B4">
        <w:rPr>
          <w:noProof/>
          <w:lang w:val="en-US"/>
        </w:rPr>
        <w:t>(</w:t>
      </w:r>
      <w:hyperlink w:anchor="_ENREF_4" w:tooltip="Baker, 2012 #828" w:history="1">
        <w:r w:rsidR="00BF347F">
          <w:rPr>
            <w:noProof/>
            <w:lang w:val="en-US"/>
          </w:rPr>
          <w:t>Baker et al., 2012</w:t>
        </w:r>
      </w:hyperlink>
      <w:r w:rsidR="004B61B4">
        <w:rPr>
          <w:noProof/>
          <w:lang w:val="en-US"/>
        </w:rPr>
        <w:t>)</w:t>
      </w:r>
      <w:r w:rsidR="004B61B4">
        <w:rPr>
          <w:lang w:val="en-US"/>
        </w:rPr>
        <w:fldChar w:fldCharType="end"/>
      </w:r>
      <w:r>
        <w:rPr>
          <w:lang w:val="en-US"/>
        </w:rPr>
        <w:t>. This test tradeoff has similarities to the well-known concept of ‘number needed to treat’ in trials and efficacy research. The test tradeoff is defined as 1 /</w:t>
      </w:r>
      <w:r w:rsidRPr="00EE5600">
        <w:rPr>
          <w:rFonts w:ascii="Lucida Grande" w:hAnsi="Lucida Grande" w:cs="Lucida Grande"/>
          <w:b/>
          <w:color w:val="000000"/>
          <w:lang w:val="en-US"/>
        </w:rPr>
        <w:t xml:space="preserve"> </w:t>
      </w:r>
      <w:r w:rsidRPr="00A250CB">
        <w:rPr>
          <w:rFonts w:ascii="Lucida Grande Greek" w:hAnsi="Lucida Grande Greek" w:cs="Lucida Grande Greek"/>
          <w:b/>
          <w:color w:val="000000"/>
          <w:lang w:val="en-US"/>
        </w:rPr>
        <w:t>Δ</w:t>
      </w:r>
      <w:r w:rsidRPr="00A250CB">
        <w:rPr>
          <w:lang w:val="en-US"/>
        </w:rPr>
        <w:t>NB</w:t>
      </w:r>
      <w:r>
        <w:rPr>
          <w:lang w:val="en-US"/>
        </w:rPr>
        <w:t xml:space="preserve">. Hence, the test tradeoff for measuring HDL cholesterol was 1 in 335. </w:t>
      </w:r>
    </w:p>
    <w:p w:rsidR="00B85B9F" w:rsidRDefault="00B85B9F" w:rsidP="00655373">
      <w:pPr>
        <w:spacing w:line="360" w:lineRule="auto"/>
        <w:ind w:firstLine="720"/>
        <w:rPr>
          <w:lang w:val="en-US"/>
        </w:rPr>
      </w:pPr>
    </w:p>
    <w:p w:rsidR="00B85B9F" w:rsidRPr="00F21F6B" w:rsidRDefault="00B85B9F" w:rsidP="00F21F6B">
      <w:pPr>
        <w:spacing w:line="360" w:lineRule="auto"/>
        <w:rPr>
          <w:i/>
          <w:lang w:val="en-US"/>
        </w:rPr>
      </w:pPr>
      <w:r w:rsidRPr="00F21F6B">
        <w:rPr>
          <w:i/>
          <w:lang w:val="en-US"/>
        </w:rPr>
        <w:t>Sensitivity to choice of cut-off</w:t>
      </w:r>
    </w:p>
    <w:p w:rsidR="00B85B9F" w:rsidRPr="00A250CB" w:rsidRDefault="00B85B9F" w:rsidP="00F21F6B">
      <w:pPr>
        <w:spacing w:line="360" w:lineRule="auto"/>
        <w:rPr>
          <w:lang w:val="en-US"/>
        </w:rPr>
      </w:pPr>
      <w:r w:rsidRPr="00A250CB">
        <w:rPr>
          <w:lang w:val="en-US"/>
        </w:rPr>
        <w:t>In the weighted variants of summing s</w:t>
      </w:r>
      <w:r>
        <w:rPr>
          <w:lang w:val="en-US"/>
        </w:rPr>
        <w:t xml:space="preserve">ensitivity and specificity, the </w:t>
      </w:r>
      <w:r w:rsidRPr="00A250CB">
        <w:rPr>
          <w:lang w:val="en-US"/>
        </w:rPr>
        <w:t xml:space="preserve">decision threshold is </w:t>
      </w:r>
      <w:r>
        <w:rPr>
          <w:lang w:val="en-US"/>
        </w:rPr>
        <w:t>essential</w:t>
      </w:r>
      <w:r w:rsidRPr="00A250CB">
        <w:rPr>
          <w:lang w:val="en-US"/>
        </w:rPr>
        <w:t>, which is defined by the harm to benefit ratio. As a sensitivity analysis, it is recommended to consider a range of possible thresholds. This</w:t>
      </w:r>
      <w:r>
        <w:rPr>
          <w:lang w:val="en-US"/>
        </w:rPr>
        <w:t xml:space="preserve"> can be displayed</w:t>
      </w:r>
      <w:r w:rsidRPr="00A250CB">
        <w:rPr>
          <w:lang w:val="en-US"/>
        </w:rPr>
        <w:t xml:space="preserve"> in a decision curve</w:t>
      </w:r>
      <w:r w:rsidR="00271583">
        <w:rPr>
          <w:lang w:val="en-US"/>
        </w:rPr>
        <w:t>.</w:t>
      </w:r>
      <w:r w:rsidR="004B61B4">
        <w:rPr>
          <w:lang w:val="en-US"/>
        </w:rPr>
        <w:fldChar w:fldCharType="begin"/>
      </w:r>
      <w:r w:rsidR="004B61B4">
        <w:rPr>
          <w:lang w:val="en-US"/>
        </w:rPr>
        <w:instrText xml:space="preserve"> ADDIN EN.CITE &lt;EndNote&gt;&lt;Cite&gt;&lt;Author&gt;Vickers&lt;/Author&gt;&lt;Year&gt;2006&lt;/Year&gt;&lt;RecNum&gt;403&lt;/RecNum&gt;&lt;DisplayText&gt;(Vickers &amp;amp; Elkin, 2006)&lt;/DisplayText&gt;&lt;record&gt;&lt;rec-number&gt;403&lt;/rec-number&gt;&lt;foreign-keys&gt;&lt;key app="EN" db-id="s5at2da0rxdws8ew29spaefwt99szxvvfawz"&gt;403&lt;/key&gt;&lt;/foreign-keys&gt;&lt;ref-type name="Journal Article"&gt;17&lt;/ref-type&gt;&lt;contributors&gt;&lt;authors&gt;&lt;author&gt;Vickers, A. J.&lt;/author&gt;&lt;author&gt;Elkin, E. B.&lt;/author&gt;&lt;/authors&gt;&lt;/contributors&gt;&lt;auth-address&gt;Department of Epidemiology and Biostatistics, Memorial Sloan-Kettering Cancer Center, New York, USA. vickersa@mskcc.org&lt;/auth-address&gt;&lt;titles&gt;&lt;title&gt;Decision curve analysis: a novel method for evaluating prediction models&lt;/title&gt;&lt;secondary-title&gt;Med Decis Making&lt;/secondary-title&gt;&lt;/titles&gt;&lt;periodical&gt;&lt;full-title&gt;Med Decis Making&lt;/full-title&gt;&lt;/periodical&gt;&lt;pages&gt;565-74&lt;/pages&gt;&lt;volume&gt;26&lt;/volume&gt;&lt;number&gt;6&lt;/number&gt;&lt;dates&gt;&lt;year&gt;2006&lt;/year&gt;&lt;pub-dates&gt;&lt;date&gt;Nov-Dec&lt;/date&gt;&lt;/pub-dates&gt;&lt;/dates&gt;&lt;isbn&gt;0272-989X (Print)&lt;/isbn&gt;&lt;accession-num&gt;17099194&lt;/accession-num&gt;&lt;urls&gt;&lt;related-urls&gt;&lt;url&gt;http://www.ncbi.nlm.nih.gov/entrez/query.fcgi?cmd=Retrieve&amp;amp;db=PubMed&amp;amp;dopt=Citation&amp;amp;list_uids=17099194&lt;/url&gt;&lt;/related-urls&gt;&lt;/urls&gt;&lt;/record&gt;&lt;/Cite&gt;&lt;/EndNote&gt;</w:instrText>
      </w:r>
      <w:r w:rsidR="004B61B4">
        <w:rPr>
          <w:lang w:val="en-US"/>
        </w:rPr>
        <w:fldChar w:fldCharType="separate"/>
      </w:r>
      <w:r w:rsidR="004B61B4">
        <w:rPr>
          <w:noProof/>
          <w:lang w:val="en-US"/>
        </w:rPr>
        <w:t>(</w:t>
      </w:r>
      <w:hyperlink w:anchor="_ENREF_42" w:tooltip="Vickers, 2006 #403" w:history="1">
        <w:r w:rsidR="00BF347F">
          <w:rPr>
            <w:noProof/>
            <w:lang w:val="en-US"/>
          </w:rPr>
          <w:t>Vickers &amp; Elkin, 2006</w:t>
        </w:r>
      </w:hyperlink>
      <w:r w:rsidR="004B61B4">
        <w:rPr>
          <w:noProof/>
          <w:lang w:val="en-US"/>
        </w:rPr>
        <w:t>)</w:t>
      </w:r>
      <w:r w:rsidR="004B61B4">
        <w:rPr>
          <w:lang w:val="en-US"/>
        </w:rPr>
        <w:fldChar w:fldCharType="end"/>
      </w:r>
      <w:r w:rsidR="00F31597">
        <w:rPr>
          <w:lang w:val="en-US"/>
        </w:rPr>
        <w:t>.</w:t>
      </w:r>
      <w:r w:rsidRPr="00A250CB">
        <w:rPr>
          <w:lang w:val="en-US"/>
        </w:rPr>
        <w:t xml:space="preserve"> We note that the model with HDL</w:t>
      </w:r>
      <w:r>
        <w:rPr>
          <w:lang w:val="en-US"/>
        </w:rPr>
        <w:t xml:space="preserve"> cholesterol</w:t>
      </w:r>
      <w:r w:rsidRPr="00A250CB">
        <w:rPr>
          <w:lang w:val="en-US"/>
        </w:rPr>
        <w:t xml:space="preserve"> has a small but consistent</w:t>
      </w:r>
      <w:r>
        <w:rPr>
          <w:lang w:val="en-US"/>
        </w:rPr>
        <w:t>ly higher</w:t>
      </w:r>
      <w:r w:rsidRPr="00A250CB">
        <w:rPr>
          <w:lang w:val="en-US"/>
        </w:rPr>
        <w:t xml:space="preserve"> </w:t>
      </w:r>
      <w:r>
        <w:rPr>
          <w:lang w:val="en-US"/>
        </w:rPr>
        <w:t>NB</w:t>
      </w:r>
      <w:r w:rsidRPr="00A250CB">
        <w:rPr>
          <w:lang w:val="en-US"/>
        </w:rPr>
        <w:t xml:space="preserve"> for most thresholds in the clinically most relevant range from 5% to 25% 10-year risks</w:t>
      </w:r>
      <w:r>
        <w:rPr>
          <w:lang w:val="en-US"/>
        </w:rPr>
        <w:t xml:space="preserve"> (Figure </w:t>
      </w:r>
      <w:r w:rsidR="00F31597">
        <w:rPr>
          <w:lang w:val="en-US"/>
        </w:rPr>
        <w:t>7</w:t>
      </w:r>
      <w:r>
        <w:rPr>
          <w:lang w:val="en-US"/>
        </w:rPr>
        <w:t>)</w:t>
      </w:r>
      <w:r w:rsidRPr="00A250CB">
        <w:rPr>
          <w:lang w:val="en-US"/>
        </w:rPr>
        <w:t>.</w:t>
      </w:r>
    </w:p>
    <w:p w:rsidR="00B85B9F" w:rsidRPr="005927CB" w:rsidRDefault="00B85B9F" w:rsidP="00D93B06">
      <w:pPr>
        <w:spacing w:line="360" w:lineRule="auto"/>
        <w:rPr>
          <w:b/>
          <w:lang w:val="en-US"/>
        </w:rPr>
      </w:pPr>
      <w:r>
        <w:rPr>
          <w:b/>
          <w:lang w:val="en-US"/>
        </w:rPr>
        <w:br w:type="page"/>
      </w:r>
      <w:r w:rsidRPr="005927CB">
        <w:rPr>
          <w:b/>
          <w:lang w:val="en-US"/>
        </w:rPr>
        <w:lastRenderedPageBreak/>
        <w:t>Discussion</w:t>
      </w:r>
    </w:p>
    <w:p w:rsidR="00B85B9F" w:rsidRDefault="00B85B9F" w:rsidP="00D93B06">
      <w:pPr>
        <w:spacing w:line="360" w:lineRule="auto"/>
        <w:rPr>
          <w:lang w:val="en-US"/>
        </w:rPr>
      </w:pPr>
      <w:r>
        <w:rPr>
          <w:lang w:val="en-US"/>
        </w:rPr>
        <w:t xml:space="preserve">In this review, we considered various graphs and summary measure to assess the incremental value of a novel marker in predicting presence of disease (diagnosis) or the occurrence of an event over time (prognosis). We first examined continuous predictions, which is in line with the usual statistical approach to develop a model with and without the marker under study. Several informative graphs can be created (Figures 1 – </w:t>
      </w:r>
      <w:r w:rsidR="00F31597">
        <w:rPr>
          <w:lang w:val="en-US"/>
        </w:rPr>
        <w:t>5</w:t>
      </w:r>
      <w:r>
        <w:rPr>
          <w:lang w:val="en-US"/>
        </w:rPr>
        <w:t xml:space="preserve">), with appealing summary measures such as the increase in explained variability and increase in AUC, or the continuous NRI. Second, we examined binary classifications, which can well be summarized in a reclassification table (Table 2). We propose an alternative design of such a table (“Net reclassification table”, Table 3) with a graph (“Net Reclassification Risk graph”, Fig </w:t>
      </w:r>
      <w:r w:rsidR="00C17DF5">
        <w:rPr>
          <w:lang w:val="en-US"/>
        </w:rPr>
        <w:t>6</w:t>
      </w:r>
      <w:r>
        <w:rPr>
          <w:lang w:val="en-US"/>
        </w:rPr>
        <w:t>) to readily assess the incremental value of a marker for improving clinical risk classification. This presentation draws our attention to the number of reclassified persons, i.e. from low to high and from high to low risk. This focus was also central in Cook’s early proposals for assessing reclassification</w:t>
      </w:r>
      <w:r w:rsidR="00271583">
        <w:rPr>
          <w:lang w:val="en-US"/>
        </w:rPr>
        <w:t xml:space="preserve"> </w:t>
      </w:r>
      <w:r w:rsidR="004B61B4">
        <w:rPr>
          <w:lang w:val="en-US"/>
        </w:rPr>
        <w:fldChar w:fldCharType="begin"/>
      </w:r>
      <w:r w:rsidR="004B61B4">
        <w:rPr>
          <w:lang w:val="en-US"/>
        </w:rPr>
        <w:instrText xml:space="preserve"> ADDIN EN.CITE &lt;EndNote&gt;&lt;Cite&gt;&lt;Author&gt;Cook&lt;/Author&gt;&lt;Year&gt;2006&lt;/Year&gt;&lt;RecNum&gt;438&lt;/RecNum&gt;&lt;DisplayText&gt;(Cook et al., 2006)&lt;/DisplayText&gt;&lt;record&gt;&lt;rec-number&gt;438&lt;/rec-number&gt;&lt;foreign-keys&gt;&lt;key app="EN" db-id="s5at2da0rxdws8ew29spaefwt99szxvvfawz"&gt;438&lt;/key&gt;&lt;/foreign-keys&gt;&lt;ref-type name="Journal Article"&gt;17&lt;/ref-type&gt;&lt;contributors&gt;&lt;authors&gt;&lt;author&gt;Cook, N. R.&lt;/author&gt;&lt;author&gt;Buring, J. E.&lt;/author&gt;&lt;author&gt;Ridker, P. M.&lt;/author&gt;&lt;/authors&gt;&lt;/contributors&gt;&lt;auth-address&gt;Division of Preventive Medicine, Brigham and Women&amp;apos;s Hospital, Harvard Medical School, Boston, Massachusetts 02215, USA. ncook@rics.bwh.harvard.edu&lt;/auth-address&gt;&lt;titles&gt;&lt;title&gt;The effect of including C-reactive protein in cardiovascular risk prediction models for women&lt;/title&gt;&lt;secondary-title&gt;Ann Intern Med&lt;/secondary-title&gt;&lt;/titles&gt;&lt;periodical&gt;&lt;full-title&gt;Ann Intern Med&lt;/full-title&gt;&lt;/periodical&gt;&lt;pages&gt;21-9&lt;/pages&gt;&lt;volume&gt;145&lt;/volume&gt;&lt;number&gt;1&lt;/number&gt;&lt;keywords&gt;&lt;keyword&gt;0 (Biological Markers)&lt;/keyword&gt;&lt;keyword&gt;0 (Lipids)&lt;/keyword&gt;&lt;keyword&gt;9007-41-4 (C-Reactive Protein)&lt;/keyword&gt;&lt;keyword&gt;Age Factors&lt;/keyword&gt;&lt;keyword&gt;Biological Markers/blood&lt;/keyword&gt;&lt;keyword&gt;Blood Pressure&lt;/keyword&gt;&lt;keyword&gt;C-Reactive Protein/*metabolism&lt;/keyword&gt;&lt;keyword&gt;Cardiovascular Diseases/*blood/*epidemiology&lt;/keyword&gt;&lt;keyword&gt;Cohort Studies&lt;/keyword&gt;&lt;keyword&gt;Female&lt;/keyword&gt;&lt;keyword&gt;Humans&lt;/keyword&gt;&lt;keyword&gt;Lipids/blood&lt;/keyword&gt;&lt;keyword&gt;Middle Aged&lt;/keyword&gt;&lt;keyword&gt;Proportional Hazards Models&lt;/keyword&gt;&lt;keyword&gt;Risk Assessment/*methods&lt;/keyword&gt;&lt;keyword&gt;Smoking/adverse effects&lt;/keyword&gt;&lt;keyword&gt;United States/epidemiology&lt;/keyword&gt;&lt;/keywords&gt;&lt;dates&gt;&lt;year&gt;2006&lt;/year&gt;&lt;pub-dates&gt;&lt;date&gt;Jul 4&lt;/date&gt;&lt;/pub-dates&gt;&lt;/dates&gt;&lt;isbn&gt;1539-3704 (Electronic)&lt;/isbn&gt;&lt;accession-num&gt;16818925&lt;/accession-num&gt;&lt;urls&gt;&lt;related-urls&gt;&lt;url&gt;http://www.ncbi.nlm.nih.gov/entrez/query.fcgi?cmd=Retrieve&amp;amp;db=PubMed&amp;amp;dopt=Citation&amp;amp;list_uids=16818925&lt;/url&gt;&lt;/related-urls&gt;&lt;/urls&gt;&lt;/record&gt;&lt;/Cite&gt;&lt;/EndNote&gt;</w:instrText>
      </w:r>
      <w:r w:rsidR="004B61B4">
        <w:rPr>
          <w:lang w:val="en-US"/>
        </w:rPr>
        <w:fldChar w:fldCharType="separate"/>
      </w:r>
      <w:r w:rsidR="004B61B4">
        <w:rPr>
          <w:noProof/>
          <w:lang w:val="en-US"/>
        </w:rPr>
        <w:t>(</w:t>
      </w:r>
      <w:hyperlink w:anchor="_ENREF_9" w:tooltip="Cook, 2006 #438" w:history="1">
        <w:r w:rsidR="00BF347F">
          <w:rPr>
            <w:noProof/>
            <w:lang w:val="en-US"/>
          </w:rPr>
          <w:t>Cook et al., 2006</w:t>
        </w:r>
      </w:hyperlink>
      <w:r w:rsidR="004B61B4">
        <w:rPr>
          <w:noProof/>
          <w:lang w:val="en-US"/>
        </w:rPr>
        <w:t>)</w:t>
      </w:r>
      <w:r w:rsidR="004B61B4">
        <w:rPr>
          <w:lang w:val="en-US"/>
        </w:rPr>
        <w:fldChar w:fldCharType="end"/>
      </w:r>
      <w:r w:rsidR="00271583" w:rsidRPr="00271583">
        <w:rPr>
          <w:lang w:val="en-US"/>
        </w:rPr>
        <w:t xml:space="preserve"> </w:t>
      </w:r>
      <w:r w:rsidR="004B61B4">
        <w:rPr>
          <w:lang w:val="en-US"/>
        </w:rPr>
        <w:fldChar w:fldCharType="begin"/>
      </w:r>
      <w:r w:rsidR="004B61B4">
        <w:rPr>
          <w:lang w:val="en-US"/>
        </w:rPr>
        <w:instrText xml:space="preserve"> ADDIN EN.CITE &lt;EndNote&gt;&lt;Cite&gt;&lt;Author&gt;Cook&lt;/Author&gt;&lt;Year&gt;2007&lt;/Year&gt;&lt;RecNum&gt;439&lt;/RecNum&gt;&lt;DisplayText&gt;(Cook, 2007)&lt;/DisplayText&gt;&lt;record&gt;&lt;rec-number&gt;439&lt;/rec-number&gt;&lt;foreign-keys&gt;&lt;key app="EN" db-id="s5at2da0rxdws8ew29spaefwt99szxvvfawz"&gt;439&lt;/key&gt;&lt;/foreign-keys&gt;&lt;ref-type name="Journal Article"&gt;17&lt;/ref-type&gt;&lt;contributors&gt;&lt;authors&gt;&lt;author&gt;Cook, N. R.&lt;/author&gt;&lt;/authors&gt;&lt;/contributors&gt;&lt;auth-address&gt;Division of Preventive Medicine, Brigham and Women&amp;apos;s Hospital, 900 Commonwealth Ave East, Boston, MA 02215, USA. ncook@rics.bwh.harvard.edu&lt;/auth-address&gt;&lt;titles&gt;&lt;title&gt;Use and misuse of the receiver operating characteristic curve in risk prediction&lt;/title&gt;&lt;secondary-title&gt;Circulation&lt;/secondary-title&gt;&lt;/titles&gt;&lt;periodical&gt;&lt;full-title&gt;Circulation&lt;/full-title&gt;&lt;/periodical&gt;&lt;pages&gt;928-35&lt;/pages&gt;&lt;volume&gt;115&lt;/volume&gt;&lt;number&gt;7&lt;/number&gt;&lt;keywords&gt;&lt;keyword&gt;Area Under Curve&lt;/keyword&gt;&lt;keyword&gt;Humans&lt;/keyword&gt;&lt;keyword&gt;*Models, Cardiovascular&lt;/keyword&gt;&lt;keyword&gt;Odds Ratio&lt;/keyword&gt;&lt;keyword&gt;Predictive Value of Tests&lt;/keyword&gt;&lt;keyword&gt;Prognosis&lt;/keyword&gt;&lt;keyword&gt;*ROC Curve&lt;/keyword&gt;&lt;keyword&gt;Risk Assessment&lt;/keyword&gt;&lt;/keywords&gt;&lt;dates&gt;&lt;year&gt;2007&lt;/year&gt;&lt;pub-dates&gt;&lt;date&gt;Feb 20&lt;/date&gt;&lt;/pub-dates&gt;&lt;/dates&gt;&lt;isbn&gt;1524-4539 (Electronic)&lt;/isbn&gt;&lt;accession-num&gt;17309939&lt;/accession-num&gt;&lt;urls&gt;&lt;related-urls&gt;&lt;url&gt;http://www.ncbi.nlm.nih.gov/entrez/query.fcgi?cmd=Retrieve&amp;amp;db=PubMed&amp;amp;dopt=Citation&amp;amp;list_uids=17309939&lt;/url&gt;&lt;/related-urls&gt;&lt;/urls&gt;&lt;/record&gt;&lt;/Cite&gt;&lt;/EndNote&gt;</w:instrText>
      </w:r>
      <w:r w:rsidR="004B61B4">
        <w:rPr>
          <w:lang w:val="en-US"/>
        </w:rPr>
        <w:fldChar w:fldCharType="separate"/>
      </w:r>
      <w:r w:rsidR="004B61B4">
        <w:rPr>
          <w:noProof/>
          <w:lang w:val="en-US"/>
        </w:rPr>
        <w:t>(</w:t>
      </w:r>
      <w:hyperlink w:anchor="_ENREF_8" w:tooltip="Cook, 2007 #439" w:history="1">
        <w:r w:rsidR="00BF347F">
          <w:rPr>
            <w:noProof/>
            <w:lang w:val="en-US"/>
          </w:rPr>
          <w:t>Cook, 2007</w:t>
        </w:r>
      </w:hyperlink>
      <w:r w:rsidR="004B61B4">
        <w:rPr>
          <w:noProof/>
          <w:lang w:val="en-US"/>
        </w:rPr>
        <w:t>)</w:t>
      </w:r>
      <w:r w:rsidR="004B61B4">
        <w:rPr>
          <w:lang w:val="en-US"/>
        </w:rPr>
        <w:fldChar w:fldCharType="end"/>
      </w:r>
      <w:r w:rsidR="00C17DF5">
        <w:rPr>
          <w:lang w:val="en-US"/>
        </w:rPr>
        <w:t>.</w:t>
      </w:r>
      <w:r>
        <w:rPr>
          <w:lang w:val="en-US"/>
        </w:rPr>
        <w:t xml:space="preserve"> Second, our attention is drawn to the absolute risk estimates, which naturally should be higher for those reclassified as at high risk then for those reclassified as low risk. The difference in areas of the low</w:t>
      </w:r>
      <w:r w:rsidR="00C17DF5">
        <w:rPr>
          <w:lang w:val="en-US"/>
        </w:rPr>
        <w:t>-&gt;</w:t>
      </w:r>
      <w:r>
        <w:rPr>
          <w:lang w:val="en-US"/>
        </w:rPr>
        <w:t>high and high</w:t>
      </w:r>
      <w:r w:rsidR="00C17DF5">
        <w:rPr>
          <w:lang w:val="en-US"/>
        </w:rPr>
        <w:t>-&gt;</w:t>
      </w:r>
      <w:r>
        <w:rPr>
          <w:lang w:val="en-US"/>
        </w:rPr>
        <w:t xml:space="preserve">low </w:t>
      </w:r>
      <w:r w:rsidR="00524154">
        <w:rPr>
          <w:lang w:val="en-US"/>
        </w:rPr>
        <w:t>bars</w:t>
      </w:r>
      <w:r>
        <w:rPr>
          <w:lang w:val="en-US"/>
        </w:rPr>
        <w:t xml:space="preserve"> indicates how many more subjects with events can be identified by the marker. This increase in sensitivity is a key attribute in many decision problems. The harms for false positive classifications, which relate to the loss of specificity, are typically less than the benefits for true positive classifications. We recognize that more research is necessary on the properties of the Net Reclassification Risk graph and its potential applications. An obvious limitation is that the graph cannot readily consider multiple categories, since a 3 category classification would already lead to 9 bars.</w:t>
      </w:r>
    </w:p>
    <w:p w:rsidR="00B85B9F" w:rsidRDefault="00B85B9F" w:rsidP="00B15D4D">
      <w:pPr>
        <w:spacing w:line="360" w:lineRule="auto"/>
        <w:rPr>
          <w:lang w:val="en-US"/>
        </w:rPr>
      </w:pPr>
    </w:p>
    <w:p w:rsidR="00B85B9F" w:rsidRPr="001E4334" w:rsidRDefault="00B85B9F" w:rsidP="00B15D4D">
      <w:pPr>
        <w:spacing w:line="360" w:lineRule="auto"/>
        <w:rPr>
          <w:i/>
          <w:lang w:val="en-US"/>
        </w:rPr>
      </w:pPr>
      <w:r>
        <w:rPr>
          <w:i/>
          <w:lang w:val="en-US"/>
        </w:rPr>
        <w:t>Interpretation of incremental value</w:t>
      </w:r>
    </w:p>
    <w:p w:rsidR="00B85B9F" w:rsidRDefault="00B85B9F" w:rsidP="00327129">
      <w:pPr>
        <w:spacing w:line="360" w:lineRule="auto"/>
        <w:rPr>
          <w:lang w:val="en-US"/>
        </w:rPr>
      </w:pPr>
      <w:r>
        <w:rPr>
          <w:lang w:val="en-US"/>
        </w:rPr>
        <w:t>A limitation of all our assessments is that it is difficult to define what increment in per</w:t>
      </w:r>
      <w:r w:rsidR="00C17DF5">
        <w:rPr>
          <w:lang w:val="en-US"/>
        </w:rPr>
        <w:t>formance is ‘important’</w:t>
      </w:r>
      <w:r>
        <w:rPr>
          <w:lang w:val="en-US"/>
        </w:rPr>
        <w:t xml:space="preserve">, ‘substantial’, or ‘meaningful’. For </w:t>
      </w:r>
      <w:r w:rsidRPr="007B3A5F">
        <w:rPr>
          <w:lang w:val="en-US"/>
        </w:rPr>
        <w:t>statistical significance</w:t>
      </w:r>
      <w:r>
        <w:rPr>
          <w:lang w:val="en-US"/>
        </w:rPr>
        <w:t xml:space="preserve">, the limit of 0.05 is widely accepted. A lower p-value is affected by the combination of effect size and sample size, and should hence not be sufficient </w:t>
      </w:r>
      <w:r>
        <w:rPr>
          <w:lang w:val="en-US"/>
        </w:rPr>
        <w:lastRenderedPageBreak/>
        <w:t>to claim that a marker is important for better prediction. Effect size criteria are preferable, where a value of Cohen’s D of 0.5 is widely accepte</w:t>
      </w:r>
      <w:r w:rsidR="00AD197F">
        <w:rPr>
          <w:lang w:val="en-US"/>
        </w:rPr>
        <w:t xml:space="preserve">d as reflecting a medium effect </w:t>
      </w:r>
      <w:r w:rsidR="004B61B4">
        <w:rPr>
          <w:lang w:val="en-US"/>
        </w:rPr>
        <w:fldChar w:fldCharType="begin"/>
      </w:r>
      <w:r w:rsidR="004B61B4">
        <w:rPr>
          <w:lang w:val="en-US"/>
        </w:rPr>
        <w:instrText xml:space="preserve"> ADDIN EN.CITE &lt;EndNote&gt;&lt;Cite&gt;&lt;Author&gt;Cohen&lt;/Author&gt;&lt;Year&gt;1988&lt;/Year&gt;&lt;RecNum&gt;115&lt;/RecNum&gt;&lt;DisplayText&gt;(Cohen, 1988)&lt;/DisplayText&gt;&lt;record&gt;&lt;rec-number&gt;115&lt;/rec-number&gt;&lt;foreign-keys&gt;&lt;key app="EN" db-id="rtv2prz2p0ttw3ezv01x0raovvzvd0wfxprr"&gt;115&lt;/key&gt;&lt;/foreign-keys&gt;&lt;ref-type name="Book"&gt;6&lt;/ref-type&gt;&lt;contributors&gt;&lt;authors&gt;&lt;author&gt;Cohen, J.&lt;/author&gt;&lt;/authors&gt;&lt;/contributors&gt;&lt;titles&gt;&lt;title&gt;Statistical Power Analysis for the Behavioral Sciences&lt;/title&gt;&lt;/titles&gt;&lt;dates&gt;&lt;year&gt;1988&lt;/year&gt;&lt;/dates&gt;&lt;publisher&gt;New Jersey: Lawrence Erlbaum Associates&lt;/publisher&gt;&lt;isbn&gt;0-8058-0283-5&lt;/isbn&gt;&lt;urls&gt;&lt;/urls&gt;&lt;/record&gt;&lt;/Cite&gt;&lt;/EndNote&gt;</w:instrText>
      </w:r>
      <w:r w:rsidR="004B61B4">
        <w:rPr>
          <w:lang w:val="en-US"/>
        </w:rPr>
        <w:fldChar w:fldCharType="separate"/>
      </w:r>
      <w:r w:rsidR="004B61B4">
        <w:rPr>
          <w:noProof/>
          <w:lang w:val="en-US"/>
        </w:rPr>
        <w:t>(</w:t>
      </w:r>
      <w:hyperlink w:anchor="_ENREF_7" w:tooltip="Cohen, 1988 #115" w:history="1">
        <w:r w:rsidR="00BF347F">
          <w:rPr>
            <w:noProof/>
            <w:lang w:val="en-US"/>
          </w:rPr>
          <w:t>Cohen, 1988</w:t>
        </w:r>
      </w:hyperlink>
      <w:r w:rsidR="004B61B4">
        <w:rPr>
          <w:noProof/>
          <w:lang w:val="en-US"/>
        </w:rPr>
        <w:t>)</w:t>
      </w:r>
      <w:r w:rsidR="004B61B4">
        <w:rPr>
          <w:lang w:val="en-US"/>
        </w:rPr>
        <w:fldChar w:fldCharType="end"/>
      </w:r>
      <w:r w:rsidR="00AD197F">
        <w:rPr>
          <w:lang w:val="en-US"/>
        </w:rPr>
        <w:t xml:space="preserve">. </w:t>
      </w:r>
      <w:r>
        <w:rPr>
          <w:lang w:val="en-US"/>
        </w:rPr>
        <w:t xml:space="preserve">Some epidemiologists may also like estimates of relative risk per standard deviation increase in value of a marker. Pencina et al </w:t>
      </w:r>
      <w:r w:rsidR="004B61B4">
        <w:rPr>
          <w:lang w:val="en-US"/>
        </w:rPr>
        <w:fldChar w:fldCharType="begin"/>
      </w:r>
      <w:r w:rsidR="004B61B4">
        <w:rPr>
          <w:lang w:val="en-US"/>
        </w:rPr>
        <w:instrText xml:space="preserve"> ADDIN EN.CITE &lt;EndNote&gt;&lt;Cite&gt;&lt;Author&gt;Pencina&lt;/Author&gt;&lt;Year&gt;2012&lt;/Year&gt;&lt;RecNum&gt;31&lt;/RecNum&gt;&lt;DisplayText&gt;(Pencina et al., 2012a)&lt;/DisplayText&gt;&lt;record&gt;&lt;rec-number&gt;31&lt;/rec-number&gt;&lt;foreign-keys&gt;&lt;key app="EN" db-id="rtv2prz2p0ttw3ezv01x0raovvzvd0wfxprr"&gt;31&lt;/key&gt;&lt;/foreign-keys&gt;&lt;ref-type name="Journal Article"&gt;17&lt;/ref-type&gt;&lt;contributors&gt;&lt;authors&gt;&lt;author&gt;Pencina, M. J.&lt;/author&gt;&lt;author&gt;D&amp;apos;Agostino, R. B.&lt;/author&gt;&lt;author&gt;Pencina, K. M.&lt;/author&gt;&lt;author&gt;Janssens, A. C.&lt;/author&gt;&lt;author&gt;Greenland, P.&lt;/author&gt;&lt;/authors&gt;&lt;/contributors&gt;&lt;auth-address&gt;Department of Biostatistics, Boston University, Massachusetts, USA. mpencina@bu.edu&lt;/auth-address&gt;&lt;titles&gt;&lt;title&gt;Interpreting incremental value of markers added to risk prediction models&lt;/title&gt;&lt;secondary-title&gt;Am J Epidemiol&lt;/secondary-title&gt;&lt;/titles&gt;&lt;periodical&gt;&lt;full-title&gt;Am J Epidemiol&lt;/full-title&gt;&lt;/periodical&gt;&lt;pages&gt;473-81&lt;/pages&gt;&lt;volume&gt;176&lt;/volume&gt;&lt;number&gt;6&lt;/number&gt;&lt;edition&gt;2012/08/10&lt;/edition&gt;&lt;keywords&gt;&lt;keyword&gt;Adult&lt;/keyword&gt;&lt;keyword&gt;Aged&lt;/keyword&gt;&lt;keyword&gt;Aged, 80 and over&lt;/keyword&gt;&lt;keyword&gt;Atrial Fibrillation/diagnosis/etiology/metabolism&lt;/keyword&gt;&lt;keyword&gt;Biological Markers/*metabolism&lt;/keyword&gt;&lt;keyword&gt;Computer Simulation&lt;/keyword&gt;&lt;keyword&gt;*Data Interpretation, Statistical&lt;/keyword&gt;&lt;keyword&gt;Humans&lt;/keyword&gt;&lt;keyword&gt;*Logistic Models&lt;/keyword&gt;&lt;keyword&gt;Middle Aged&lt;/keyword&gt;&lt;keyword&gt;Odds Ratio&lt;/keyword&gt;&lt;keyword&gt;Prognosis&lt;/keyword&gt;&lt;keyword&gt;*ROC Curve&lt;/keyword&gt;&lt;keyword&gt;Risk Assessment/*methods/statistics &amp;amp; numerical data&lt;/keyword&gt;&lt;keyword&gt;Risk Factors&lt;/keyword&gt;&lt;/keywords&gt;&lt;dates&gt;&lt;year&gt;2012&lt;/year&gt;&lt;pub-dates&gt;&lt;date&gt;Sep 15&lt;/date&gt;&lt;/pub-dates&gt;&lt;/dates&gt;&lt;isbn&gt;1476-6256 (Electronic)&amp;#xD;0002-9262 (Linking)&lt;/isbn&gt;&lt;accession-num&gt;22875755&lt;/accession-num&gt;&lt;urls&gt;&lt;related-urls&gt;&lt;url&gt;http://www.ncbi.nlm.nih.gov/pubmed/22875755&lt;/url&gt;&lt;/related-urls&gt;&lt;/urls&gt;&lt;custom2&gt;3530349&lt;/custom2&gt;&lt;electronic-resource-num&gt;kws207 [pii]&amp;#xD;10.1093/aje/kws207&lt;/electronic-resource-num&gt;&lt;language&gt;eng&lt;/language&gt;&lt;/record&gt;&lt;/Cite&gt;&lt;/EndNote&gt;</w:instrText>
      </w:r>
      <w:r w:rsidR="004B61B4">
        <w:rPr>
          <w:lang w:val="en-US"/>
        </w:rPr>
        <w:fldChar w:fldCharType="separate"/>
      </w:r>
      <w:r w:rsidR="004B61B4">
        <w:rPr>
          <w:noProof/>
          <w:lang w:val="en-US"/>
        </w:rPr>
        <w:t>(</w:t>
      </w:r>
      <w:hyperlink w:anchor="_ENREF_23" w:tooltip="Pencina, 2012 #31" w:history="1">
        <w:r w:rsidR="00BF347F">
          <w:rPr>
            <w:noProof/>
            <w:lang w:val="en-US"/>
          </w:rPr>
          <w:t>Pencina et al., 2012a</w:t>
        </w:r>
      </w:hyperlink>
      <w:r w:rsidR="004B61B4">
        <w:rPr>
          <w:noProof/>
          <w:lang w:val="en-US"/>
        </w:rPr>
        <w:t>)</w:t>
      </w:r>
      <w:r w:rsidR="004B61B4">
        <w:rPr>
          <w:lang w:val="en-US"/>
        </w:rPr>
        <w:fldChar w:fldCharType="end"/>
      </w:r>
      <w:r w:rsidR="00271583" w:rsidRPr="00271583">
        <w:rPr>
          <w:lang w:val="en-US"/>
        </w:rPr>
        <w:t xml:space="preserve"> </w:t>
      </w:r>
      <w:r>
        <w:rPr>
          <w:lang w:val="en-US"/>
        </w:rPr>
        <w:t xml:space="preserve">found that a medium effect size or </w:t>
      </w:r>
      <w:proofErr w:type="spellStart"/>
      <w:r>
        <w:rPr>
          <w:lang w:val="en-US"/>
        </w:rPr>
        <w:t>OR</w:t>
      </w:r>
      <w:proofErr w:type="spellEnd"/>
      <w:r>
        <w:rPr>
          <w:lang w:val="en-US"/>
        </w:rPr>
        <w:t xml:space="preserve"> of 1.65 per SD corresponds to a continuous NRI of 0.395. The increase in AUC depends on the AUC of the baseline model, e.g. Cohen’s D of 0.5 corresponds to +0.05 for a baseline model with AUC of 0.65, whereas only to +0.02 for a </w:t>
      </w:r>
      <w:r w:rsidR="00C17DF5">
        <w:rPr>
          <w:lang w:val="en-US"/>
        </w:rPr>
        <w:t xml:space="preserve">baseline model with AUC of 0.80 </w:t>
      </w:r>
      <w:r w:rsidR="004B61B4">
        <w:rPr>
          <w:lang w:val="en-US"/>
        </w:rPr>
        <w:fldChar w:fldCharType="begin"/>
      </w:r>
      <w:r w:rsidR="004B61B4">
        <w:rPr>
          <w:lang w:val="en-US"/>
        </w:rPr>
        <w:instrText xml:space="preserve"> ADDIN EN.CITE &lt;EndNote&gt;&lt;Cite&gt;&lt;Author&gt;Pencina&lt;/Author&gt;&lt;Year&gt;2012&lt;/Year&gt;&lt;RecNum&gt;31&lt;/RecNum&gt;&lt;DisplayText&gt;(Pencina et al., 2012a)&lt;/DisplayText&gt;&lt;record&gt;&lt;rec-number&gt;31&lt;/rec-number&gt;&lt;foreign-keys&gt;&lt;key app="EN" db-id="rtv2prz2p0ttw3ezv01x0raovvzvd0wfxprr"&gt;31&lt;/key&gt;&lt;/foreign-keys&gt;&lt;ref-type name="Journal Article"&gt;17&lt;/ref-type&gt;&lt;contributors&gt;&lt;authors&gt;&lt;author&gt;Pencina, M. J.&lt;/author&gt;&lt;author&gt;D&amp;apos;Agostino, R. B.&lt;/author&gt;&lt;author&gt;Pencina, K. M.&lt;/author&gt;&lt;author&gt;Janssens, A. C.&lt;/author&gt;&lt;author&gt;Greenland, P.&lt;/author&gt;&lt;/authors&gt;&lt;/contributors&gt;&lt;auth-address&gt;Department of Biostatistics, Boston University, Massachusetts, USA. mpencina@bu.edu&lt;/auth-address&gt;&lt;titles&gt;&lt;title&gt;Interpreting incremental value of markers added to risk prediction models&lt;/title&gt;&lt;secondary-title&gt;Am J Epidemiol&lt;/secondary-title&gt;&lt;/titles&gt;&lt;periodical&gt;&lt;full-title&gt;Am J Epidemiol&lt;/full-title&gt;&lt;/periodical&gt;&lt;pages&gt;473-81&lt;/pages&gt;&lt;volume&gt;176&lt;/volume&gt;&lt;number&gt;6&lt;/number&gt;&lt;edition&gt;2012/08/10&lt;/edition&gt;&lt;keywords&gt;&lt;keyword&gt;Adult&lt;/keyword&gt;&lt;keyword&gt;Aged&lt;/keyword&gt;&lt;keyword&gt;Aged, 80 and over&lt;/keyword&gt;&lt;keyword&gt;Atrial Fibrillation/diagnosis/etiology/metabolism&lt;/keyword&gt;&lt;keyword&gt;Biological Markers/*metabolism&lt;/keyword&gt;&lt;keyword&gt;Computer Simulation&lt;/keyword&gt;&lt;keyword&gt;*Data Interpretation, Statistical&lt;/keyword&gt;&lt;keyword&gt;Humans&lt;/keyword&gt;&lt;keyword&gt;*Logistic Models&lt;/keyword&gt;&lt;keyword&gt;Middle Aged&lt;/keyword&gt;&lt;keyword&gt;Odds Ratio&lt;/keyword&gt;&lt;keyword&gt;Prognosis&lt;/keyword&gt;&lt;keyword&gt;*ROC Curve&lt;/keyword&gt;&lt;keyword&gt;Risk Assessment/*methods/statistics &amp;amp; numerical data&lt;/keyword&gt;&lt;keyword&gt;Risk Factors&lt;/keyword&gt;&lt;/keywords&gt;&lt;dates&gt;&lt;year&gt;2012&lt;/year&gt;&lt;pub-dates&gt;&lt;date&gt;Sep 15&lt;/date&gt;&lt;/pub-dates&gt;&lt;/dates&gt;&lt;isbn&gt;1476-6256 (Electronic)&amp;#xD;0002-9262 (Linking)&lt;/isbn&gt;&lt;accession-num&gt;22875755&lt;/accession-num&gt;&lt;urls&gt;&lt;related-urls&gt;&lt;url&gt;http://www.ncbi.nlm.nih.gov/pubmed/22875755&lt;/url&gt;&lt;/related-urls&gt;&lt;/urls&gt;&lt;custom2&gt;3530349&lt;/custom2&gt;&lt;electronic-resource-num&gt;kws207 [pii]&amp;#xD;10.1093/aje/kws207&lt;/electronic-resource-num&gt;&lt;language&gt;eng&lt;/language&gt;&lt;/record&gt;&lt;/Cite&gt;&lt;/EndNote&gt;</w:instrText>
      </w:r>
      <w:r w:rsidR="004B61B4">
        <w:rPr>
          <w:lang w:val="en-US"/>
        </w:rPr>
        <w:fldChar w:fldCharType="separate"/>
      </w:r>
      <w:r w:rsidR="004B61B4">
        <w:rPr>
          <w:noProof/>
          <w:lang w:val="en-US"/>
        </w:rPr>
        <w:t>(</w:t>
      </w:r>
      <w:hyperlink w:anchor="_ENREF_23" w:tooltip="Pencina, 2012 #31" w:history="1">
        <w:r w:rsidR="00BF347F">
          <w:rPr>
            <w:noProof/>
            <w:lang w:val="en-US"/>
          </w:rPr>
          <w:t>Pencina et al., 2012a</w:t>
        </w:r>
      </w:hyperlink>
      <w:r w:rsidR="004B61B4">
        <w:rPr>
          <w:noProof/>
          <w:lang w:val="en-US"/>
        </w:rPr>
        <w:t>)</w:t>
      </w:r>
      <w:r w:rsidR="004B61B4">
        <w:rPr>
          <w:lang w:val="en-US"/>
        </w:rPr>
        <w:fldChar w:fldCharType="end"/>
      </w:r>
      <w:r w:rsidR="00C17DF5">
        <w:rPr>
          <w:lang w:val="en-US"/>
        </w:rPr>
        <w:t>.</w:t>
      </w:r>
      <w:r>
        <w:rPr>
          <w:lang w:val="en-US"/>
        </w:rPr>
        <w:t xml:space="preserve"> A third option is to consider c</w:t>
      </w:r>
      <w:r w:rsidRPr="007B3A5F">
        <w:rPr>
          <w:lang w:val="en-US"/>
        </w:rPr>
        <w:t>ost-effectiveness</w:t>
      </w:r>
      <w:r>
        <w:rPr>
          <w:lang w:val="en-US"/>
        </w:rPr>
        <w:t xml:space="preserve"> criteria, where willingness to pay thresholds have been proposed in terms of euros (or dollars) per quality adjusted life-year (QALY) gaine</w:t>
      </w:r>
      <w:r w:rsidR="00C17DF5">
        <w:rPr>
          <w:lang w:val="en-US"/>
        </w:rPr>
        <w:t>d, for example $20,000 per QALY</w:t>
      </w:r>
      <w:r w:rsidR="008C2397">
        <w:rPr>
          <w:lang w:val="en-US"/>
        </w:rPr>
        <w:t xml:space="preserve"> </w:t>
      </w:r>
      <w:r w:rsidR="004B61B4">
        <w:rPr>
          <w:lang w:val="en-US"/>
        </w:rPr>
        <w:fldChar w:fldCharType="begin"/>
      </w:r>
      <w:r w:rsidR="004B61B4">
        <w:rPr>
          <w:lang w:val="en-US"/>
        </w:rPr>
        <w:instrText xml:space="preserve"> ADDIN EN.CITE &lt;EndNote&gt;&lt;Cite&gt;&lt;Author&gt;Chapman&lt;/Author&gt;&lt;Year&gt;2000&lt;/Year&gt;&lt;RecNum&gt;73&lt;/RecNum&gt;&lt;DisplayText&gt;(Chapman et al., 2000)&lt;/DisplayText&gt;&lt;record&gt;&lt;rec-number&gt;73&lt;/rec-number&gt;&lt;foreign-keys&gt;&lt;key app="EN" db-id="rtv2prz2p0ttw3ezv01x0raovvzvd0wfxprr"&gt;73&lt;/key&gt;&lt;/foreign-keys&gt;&lt;ref-type name="Journal Article"&gt;17&lt;/ref-type&gt;&lt;contributors&gt;&lt;authors&gt;&lt;author&gt;Chapman, R. H.&lt;/author&gt;&lt;author&gt;Stone, P. W.&lt;/author&gt;&lt;author&gt;Sandberg, E. A.&lt;/author&gt;&lt;author&gt;Bell, C.&lt;/author&gt;&lt;author&gt;Neumann, P. J.&lt;/author&gt;&lt;/authors&gt;&lt;/contributors&gt;&lt;auth-address&gt;Program on the Economic Evaluation of Medical Technology, Harvard Center for Risk Analysis, Harvard School of Public Health, Boston, Massachusetts 02115, USA.&lt;/auth-address&gt;&lt;titles&gt;&lt;title&gt;A comprehensive league table of cost-utility ratios and a sub-table of &amp;quot;panel-worthy&amp;quot; studies&lt;/title&gt;&lt;secondary-title&gt;Med Decis Making&lt;/secondary-title&gt;&lt;/titles&gt;&lt;periodical&gt;&lt;full-title&gt;Med Decis Making&lt;/full-title&gt;&lt;/periodical&gt;&lt;pages&gt;451-67&lt;/pages&gt;&lt;volume&gt;20&lt;/volume&gt;&lt;number&gt;4&lt;/number&gt;&lt;edition&gt;2000/11/04&lt;/edition&gt;&lt;keywords&gt;&lt;keyword&gt;Adolescent&lt;/keyword&gt;&lt;keyword&gt;Adult&lt;/keyword&gt;&lt;keyword&gt;Age Factors&lt;/keyword&gt;&lt;keyword&gt;Aged&lt;/keyword&gt;&lt;keyword&gt;Aged, 80 and over&lt;/keyword&gt;&lt;keyword&gt;Child, Preschool&lt;/keyword&gt;&lt;keyword&gt;Cost Savings&lt;/keyword&gt;&lt;keyword&gt;*Cost-Benefit Analysis&lt;/keyword&gt;&lt;keyword&gt;Costs and Cost Analysis&lt;/keyword&gt;&lt;keyword&gt;Data Collection&lt;/keyword&gt;&lt;keyword&gt;Drug Costs&lt;/keyword&gt;&lt;keyword&gt;Female&lt;/keyword&gt;&lt;keyword&gt;*Health Care Costs&lt;/keyword&gt;&lt;keyword&gt;Humans&lt;/keyword&gt;&lt;keyword&gt;Infant&lt;/keyword&gt;&lt;keyword&gt;Internet&lt;/keyword&gt;&lt;keyword&gt;Male&lt;/keyword&gt;&lt;keyword&gt;Middle Aged&lt;/keyword&gt;&lt;keyword&gt;Patient Satisfaction&lt;/keyword&gt;&lt;keyword&gt;Quality-Adjusted Life Years&lt;/keyword&gt;&lt;/keywords&gt;&lt;dates&gt;&lt;year&gt;2000&lt;/year&gt;&lt;pub-dates&gt;&lt;date&gt;Oct-Dec&lt;/date&gt;&lt;/pub-dates&gt;&lt;/dates&gt;&lt;isbn&gt;0272-989X (Print)&amp;#xD;0272-989X (Linking)&lt;/isbn&gt;&lt;accession-num&gt;11059478&lt;/accession-num&gt;&lt;urls&gt;&lt;related-urls&gt;&lt;url&gt;http://www.ncbi.nlm.nih.gov/pubmed/11059478&lt;/url&gt;&lt;/related-urls&gt;&lt;/urls&gt;&lt;language&gt;eng&lt;/language&gt;&lt;/record&gt;&lt;/Cite&gt;&lt;/EndNote&gt;</w:instrText>
      </w:r>
      <w:r w:rsidR="004B61B4">
        <w:rPr>
          <w:lang w:val="en-US"/>
        </w:rPr>
        <w:fldChar w:fldCharType="separate"/>
      </w:r>
      <w:r w:rsidR="004B61B4">
        <w:rPr>
          <w:noProof/>
          <w:lang w:val="en-US"/>
        </w:rPr>
        <w:t>(</w:t>
      </w:r>
      <w:hyperlink w:anchor="_ENREF_5" w:tooltip="Chapman, 2000 #73" w:history="1">
        <w:r w:rsidR="00BF347F">
          <w:rPr>
            <w:noProof/>
            <w:lang w:val="en-US"/>
          </w:rPr>
          <w:t>Chapman et al., 2000</w:t>
        </w:r>
      </w:hyperlink>
      <w:r w:rsidR="004B61B4">
        <w:rPr>
          <w:noProof/>
          <w:lang w:val="en-US"/>
        </w:rPr>
        <w:t>)</w:t>
      </w:r>
      <w:r w:rsidR="004B61B4">
        <w:rPr>
          <w:lang w:val="en-US"/>
        </w:rPr>
        <w:fldChar w:fldCharType="end"/>
      </w:r>
      <w:r w:rsidR="008C2397" w:rsidRPr="008C2397">
        <w:rPr>
          <w:lang w:val="en-US"/>
        </w:rPr>
        <w:t xml:space="preserve"> </w:t>
      </w:r>
      <w:r w:rsidR="004B61B4">
        <w:rPr>
          <w:lang w:val="en-US"/>
        </w:rPr>
        <w:fldChar w:fldCharType="begin"/>
      </w:r>
      <w:r w:rsidR="004B61B4">
        <w:rPr>
          <w:lang w:val="en-US"/>
        </w:rPr>
        <w:instrText xml:space="preserve"> ADDIN EN.CITE &lt;EndNote&gt;&lt;Cite&gt;&lt;Author&gt;Postmus&lt;/Author&gt;&lt;Year&gt;2012&lt;/Year&gt;&lt;RecNum&gt;74&lt;/RecNum&gt;&lt;DisplayText&gt;(Postmus et al., 2012)&lt;/DisplayText&gt;&lt;record&gt;&lt;rec-number&gt;74&lt;/rec-number&gt;&lt;foreign-keys&gt;&lt;key app="EN" db-id="rtv2prz2p0ttw3ezv01x0raovvzvd0wfxprr"&gt;74&lt;/key&gt;&lt;/foreign-keys&gt;&lt;ref-type name="Journal Article"&gt;17&lt;/ref-type&gt;&lt;contributors&gt;&lt;authors&gt;&lt;author&gt;Postmus, D.&lt;/author&gt;&lt;author&gt;de Graaf, G.&lt;/author&gt;&lt;author&gt;Hillege, H. L.&lt;/author&gt;&lt;author&gt;Steyerberg, E. W.&lt;/author&gt;&lt;author&gt;Buskens, E.&lt;/author&gt;&lt;/authors&gt;&lt;/contributors&gt;&lt;auth-address&gt;Department of Epidemiology, University Medical Center Groningen, University of Groningen, The Netherlands. d.postmus@umcg.nl&lt;/auth-address&gt;&lt;titles&gt;&lt;title&gt;A method for the early health technology assessment of novel biomarker measurement in primary prevention programs&lt;/title&gt;&lt;secondary-title&gt;Stat Med&lt;/secondary-title&gt;&lt;/titles&gt;&lt;periodical&gt;&lt;full-title&gt;Stat Med&lt;/full-title&gt;&lt;/periodical&gt;&lt;pages&gt;2733-44&lt;/pages&gt;&lt;volume&gt;31&lt;/volume&gt;&lt;number&gt;23&lt;/number&gt;&lt;edition&gt;2012/07/19&lt;/edition&gt;&lt;keywords&gt;&lt;keyword&gt;Biological Markers/*analysis&lt;/keyword&gt;&lt;keyword&gt;Biomedical Technology/*economics&lt;/keyword&gt;&lt;keyword&gt;Cost-Benefit Analysis/economics&lt;/keyword&gt;&lt;keyword&gt;Diabetes Mellitus, Type 2/economics/prevention &amp;amp; control&lt;/keyword&gt;&lt;keyword&gt;Humans&lt;/keyword&gt;&lt;keyword&gt;*Models, Economic&lt;/keyword&gt;&lt;keyword&gt;*Models, Statistical&lt;/keyword&gt;&lt;keyword&gt;Primary Prevention/*economics&lt;/keyword&gt;&lt;keyword&gt;Technology Assessment, Biomedical/*economics&lt;/keyword&gt;&lt;/keywords&gt;&lt;dates&gt;&lt;year&gt;2012&lt;/year&gt;&lt;pub-dates&gt;&lt;date&gt;Oct 15&lt;/date&gt;&lt;/pub-dates&gt;&lt;/dates&gt;&lt;isbn&gt;1097-0258 (Electronic)&amp;#xD;0277-6715 (Linking)&lt;/isbn&gt;&lt;accession-num&gt;22806952&lt;/accession-num&gt;&lt;urls&gt;&lt;related-urls&gt;&lt;url&gt;http://www.ncbi.nlm.nih.gov/pubmed/22806952&lt;/url&gt;&lt;/related-urls&gt;&lt;/urls&gt;&lt;electronic-resource-num&gt;10.1002/sim.5434&lt;/electronic-resource-num&gt;&lt;language&gt;eng&lt;/language&gt;&lt;/record&gt;&lt;/Cite&gt;&lt;/EndNote&gt;</w:instrText>
      </w:r>
      <w:r w:rsidR="004B61B4">
        <w:rPr>
          <w:lang w:val="en-US"/>
        </w:rPr>
        <w:fldChar w:fldCharType="separate"/>
      </w:r>
      <w:r w:rsidR="004B61B4">
        <w:rPr>
          <w:noProof/>
          <w:lang w:val="en-US"/>
        </w:rPr>
        <w:t>(</w:t>
      </w:r>
      <w:hyperlink w:anchor="_ENREF_29" w:tooltip="Postmus, 2012 #74" w:history="1">
        <w:r w:rsidR="00BF347F">
          <w:rPr>
            <w:noProof/>
            <w:lang w:val="en-US"/>
          </w:rPr>
          <w:t>Postmus et al., 2012</w:t>
        </w:r>
      </w:hyperlink>
      <w:r w:rsidR="004B61B4">
        <w:rPr>
          <w:noProof/>
          <w:lang w:val="en-US"/>
        </w:rPr>
        <w:t>)</w:t>
      </w:r>
      <w:r w:rsidR="004B61B4">
        <w:rPr>
          <w:lang w:val="en-US"/>
        </w:rPr>
        <w:fldChar w:fldCharType="end"/>
      </w:r>
      <w:r w:rsidR="00C17DF5">
        <w:rPr>
          <w:lang w:val="en-US"/>
        </w:rPr>
        <w:t>.</w:t>
      </w:r>
      <w:r>
        <w:rPr>
          <w:lang w:val="en-US"/>
        </w:rPr>
        <w:t xml:space="preserve"> Performing a full cost-effectiveness analysis may be too much effort for every marker studied for incremental value. An intermediate solution is to consider measures such as the </w:t>
      </w:r>
      <w:r w:rsidRPr="00A250CB">
        <w:rPr>
          <w:rFonts w:ascii="Lucida Grande Greek" w:hAnsi="Lucida Grande Greek" w:cs="Lucida Grande Greek"/>
          <w:b/>
          <w:color w:val="000000"/>
          <w:lang w:val="en-US"/>
        </w:rPr>
        <w:t>Δ</w:t>
      </w:r>
      <w:r>
        <w:rPr>
          <w:lang w:val="en-US"/>
        </w:rPr>
        <w:t xml:space="preserve">NB, </w:t>
      </w:r>
      <w:r w:rsidR="00907129" w:rsidRPr="00A250CB">
        <w:rPr>
          <w:rFonts w:ascii="Lucida Grande Greek" w:hAnsi="Lucida Grande Greek" w:cs="Lucida Grande Greek"/>
          <w:b/>
          <w:color w:val="000000"/>
          <w:lang w:val="en-US"/>
        </w:rPr>
        <w:t>Δ</w:t>
      </w:r>
      <w:r w:rsidR="00907129">
        <w:rPr>
          <w:lang w:val="en-US"/>
        </w:rPr>
        <w:t xml:space="preserve">RU, </w:t>
      </w:r>
      <w:proofErr w:type="spellStart"/>
      <w:r w:rsidR="00907129">
        <w:rPr>
          <w:lang w:val="en-US"/>
        </w:rPr>
        <w:t>wNRI</w:t>
      </w:r>
      <w:proofErr w:type="spellEnd"/>
      <w:r w:rsidR="00907129">
        <w:rPr>
          <w:lang w:val="en-US"/>
        </w:rPr>
        <w:t xml:space="preserve">, </w:t>
      </w:r>
      <w:r>
        <w:rPr>
          <w:lang w:val="en-US"/>
        </w:rPr>
        <w:t xml:space="preserve">or </w:t>
      </w:r>
      <w:r w:rsidR="00907129">
        <w:rPr>
          <w:lang w:val="en-US"/>
        </w:rPr>
        <w:t>a</w:t>
      </w:r>
      <w:r>
        <w:rPr>
          <w:lang w:val="en-US"/>
        </w:rPr>
        <w:t xml:space="preserve"> reciprocal</w:t>
      </w:r>
      <w:r w:rsidR="00907129">
        <w:rPr>
          <w:lang w:val="en-US"/>
        </w:rPr>
        <w:t xml:space="preserve"> summary measure</w:t>
      </w:r>
      <w:r>
        <w:rPr>
          <w:lang w:val="en-US"/>
        </w:rPr>
        <w:t xml:space="preserve">, the test tradeoff. In our example, the test tradeoff for measuring HDL cholesterol was 1 in 335. Whether this number is valued relatively low or relatively high depends on the context. For example, if we consider starting statin treatment for those classified as high risk, and assume a relative risk of 0.73 for the reduction of CHD events </w:t>
      </w:r>
      <w:r w:rsidR="004B61B4">
        <w:rPr>
          <w:lang w:val="en-US"/>
        </w:rPr>
        <w:fldChar w:fldCharType="begin"/>
      </w:r>
      <w:r w:rsidR="004B61B4">
        <w:rPr>
          <w:lang w:val="en-US"/>
        </w:rPr>
        <w:instrText xml:space="preserve"> ADDIN EN.CITE &lt;EndNote&gt;&lt;Cite&gt;&lt;Author&gt;Taylor&lt;/Author&gt;&lt;Year&gt;2013&lt;/Year&gt;&lt;RecNum&gt;894&lt;/RecNum&gt;&lt;DisplayText&gt;(Taylor et al., 2013)&lt;/DisplayText&gt;&lt;record&gt;&lt;rec-number&gt;894&lt;/rec-number&gt;&lt;foreign-keys&gt;&lt;key app="EN" db-id="s5at2da0rxdws8ew29spaefwt99szxvvfawz"&gt;894&lt;/key&gt;&lt;/foreign-keys&gt;&lt;ref-type name="Journal Article"&gt;17&lt;/ref-type&gt;&lt;contributors&gt;&lt;authors&gt;&lt;author&gt;Taylor, F.&lt;/author&gt;&lt;author&gt;Huffman, M. D.&lt;/author&gt;&lt;author&gt;Macedo, A. F.&lt;/author&gt;&lt;author&gt;Moore, T. H.&lt;/author&gt;&lt;author&gt;Burke, M.&lt;/author&gt;&lt;author&gt;Davey Smith, G.&lt;/author&gt;&lt;author&gt;Ward, K.&lt;/author&gt;&lt;author&gt;Ebrahim, S.&lt;/author&gt;&lt;/authors&gt;&lt;/contributors&gt;&lt;auth-address&gt;Department of Non-communicable Disease Epidemiology, London School of Hygiene and Tropical Medicine, London, UK. Fiona.Taylor@lshtm.ac.uk.&lt;/auth-address&gt;&lt;titles&gt;&lt;title&gt;Statins for the primary prevention of cardiovascular disease&lt;/title&gt;&lt;secondary-title&gt;Cochrane Database Syst Rev&lt;/secondary-title&gt;&lt;/titles&gt;&lt;periodical&gt;&lt;full-title&gt;Cochrane Database Syst Rev&lt;/full-title&gt;&lt;/periodical&gt;&lt;pages&gt;CD004816&lt;/pages&gt;&lt;volume&gt;1&lt;/volume&gt;&lt;edition&gt;2013/02/27&lt;/edition&gt;&lt;keywords&gt;&lt;keyword&gt;Adult&lt;/keyword&gt;&lt;keyword&gt;Cardiovascular Diseases/blood/mortality/*prevention &amp;amp; control&lt;/keyword&gt;&lt;keyword&gt;Cause of Death&lt;/keyword&gt;&lt;keyword&gt;Cholesterol, HDL/blood&lt;/keyword&gt;&lt;keyword&gt;Cholesterol, LDL/blood&lt;/keyword&gt;&lt;keyword&gt;Humans&lt;/keyword&gt;&lt;keyword&gt;Hydroxymethylglutaryl-CoA Reductase Inhibitors/*adverse effects/therapeutic use&lt;/keyword&gt;&lt;keyword&gt;Myocardial Revascularization/methods&lt;/keyword&gt;&lt;keyword&gt;Primary Prevention&lt;/keyword&gt;&lt;keyword&gt;Randomized Controlled Trials as Topic&lt;/keyword&gt;&lt;keyword&gt;Stroke/prevention &amp;amp; control&lt;/keyword&gt;&lt;/keywords&gt;&lt;dates&gt;&lt;year&gt;2013&lt;/year&gt;&lt;/dates&gt;&lt;isbn&gt;1469-493X (Electronic)&amp;#xD;1361-6137 (Linking)&lt;/isbn&gt;&lt;accession-num&gt;23440795&lt;/accession-num&gt;&lt;urls&gt;&lt;related-urls&gt;&lt;url&gt;http://www.ncbi.nlm.nih.gov/pubmed/23440795&lt;/url&gt;&lt;/related-urls&gt;&lt;/urls&gt;&lt;electronic-resource-num&gt;10.1002/14651858.CD004816.pub5&lt;/electronic-resource-num&gt;&lt;language&gt;eng&lt;/language&gt;&lt;/record&gt;&lt;/Cite&gt;&lt;/EndNote&gt;</w:instrText>
      </w:r>
      <w:r w:rsidR="004B61B4">
        <w:rPr>
          <w:lang w:val="en-US"/>
        </w:rPr>
        <w:fldChar w:fldCharType="separate"/>
      </w:r>
      <w:r w:rsidR="004B61B4">
        <w:rPr>
          <w:noProof/>
          <w:lang w:val="en-US"/>
        </w:rPr>
        <w:t>(</w:t>
      </w:r>
      <w:hyperlink w:anchor="_ENREF_36" w:tooltip="Taylor, 2013 #894" w:history="1">
        <w:r w:rsidR="00BF347F">
          <w:rPr>
            <w:noProof/>
            <w:lang w:val="en-US"/>
          </w:rPr>
          <w:t>Taylor et al., 2013</w:t>
        </w:r>
      </w:hyperlink>
      <w:r w:rsidR="004B61B4">
        <w:rPr>
          <w:noProof/>
          <w:lang w:val="en-US"/>
        </w:rPr>
        <w:t>)</w:t>
      </w:r>
      <w:r w:rsidR="004B61B4">
        <w:rPr>
          <w:lang w:val="en-US"/>
        </w:rPr>
        <w:fldChar w:fldCharType="end"/>
      </w:r>
      <w:r>
        <w:rPr>
          <w:lang w:val="en-US"/>
        </w:rPr>
        <w:t>, we know that we can prevent 27% of the net reclassified CHD events. This absolute benefit should be weighted against the disadvantages of the marker measurement</w:t>
      </w:r>
      <w:r w:rsidRPr="007B3A5F">
        <w:rPr>
          <w:lang w:val="en-US"/>
        </w:rPr>
        <w:t xml:space="preserve">, </w:t>
      </w:r>
      <w:r>
        <w:rPr>
          <w:lang w:val="en-US"/>
        </w:rPr>
        <w:t xml:space="preserve">such as financial </w:t>
      </w:r>
      <w:r w:rsidRPr="007B3A5F">
        <w:rPr>
          <w:lang w:val="en-US"/>
        </w:rPr>
        <w:t>costs</w:t>
      </w:r>
      <w:r>
        <w:rPr>
          <w:lang w:val="en-US"/>
        </w:rPr>
        <w:t>, the burden or discomfort, and potential risks</w:t>
      </w:r>
      <w:r w:rsidRPr="000F6135">
        <w:rPr>
          <w:lang w:val="en-US"/>
        </w:rPr>
        <w:t xml:space="preserve"> </w:t>
      </w:r>
      <w:r>
        <w:rPr>
          <w:lang w:val="en-US"/>
        </w:rPr>
        <w:t>to the patient. The harms of overtreatment are already incorporated in the NB calculation, where the treatment threshold reflects the harm to benefit ratio (in our example 1:4, threshold 20% 10-year CHD risk).</w:t>
      </w:r>
    </w:p>
    <w:p w:rsidR="00B85B9F" w:rsidRDefault="00B85B9F" w:rsidP="00327129">
      <w:pPr>
        <w:spacing w:line="360" w:lineRule="auto"/>
        <w:rPr>
          <w:lang w:val="en-US"/>
        </w:rPr>
      </w:pPr>
    </w:p>
    <w:p w:rsidR="00B85B9F" w:rsidRPr="002A5325" w:rsidRDefault="00B85B9F" w:rsidP="00327129">
      <w:pPr>
        <w:spacing w:line="360" w:lineRule="auto"/>
        <w:rPr>
          <w:i/>
          <w:lang w:val="en-US"/>
        </w:rPr>
      </w:pPr>
      <w:r>
        <w:rPr>
          <w:i/>
          <w:lang w:val="en-US"/>
        </w:rPr>
        <w:t>Estimation issues</w:t>
      </w:r>
    </w:p>
    <w:p w:rsidR="00B85B9F" w:rsidRDefault="00B85B9F" w:rsidP="00B15D4D">
      <w:pPr>
        <w:spacing w:line="360" w:lineRule="auto"/>
        <w:rPr>
          <w:lang w:val="en-US"/>
        </w:rPr>
      </w:pPr>
      <w:r>
        <w:rPr>
          <w:lang w:val="en-US"/>
        </w:rPr>
        <w:t xml:space="preserve">We focused on the apparent performance of models with and without markers. Especially in small data sets, it is well known that effect estimates for markers may be exaggerated. Such </w:t>
      </w:r>
      <w:proofErr w:type="spellStart"/>
      <w:r>
        <w:rPr>
          <w:lang w:val="en-US"/>
        </w:rPr>
        <w:t>overfit</w:t>
      </w:r>
      <w:proofErr w:type="spellEnd"/>
      <w:r>
        <w:rPr>
          <w:lang w:val="en-US"/>
        </w:rPr>
        <w:t xml:space="preserve"> leads to overoptimistic estimates of performance. </w:t>
      </w:r>
      <w:r w:rsidRPr="00A250CB">
        <w:rPr>
          <w:lang w:val="en-US"/>
        </w:rPr>
        <w:t>Several internal validation techniques can be used to correct for optimism in performance, including cross-validation and bootstrap resampling</w:t>
      </w:r>
      <w:r>
        <w:rPr>
          <w:lang w:val="en-US"/>
        </w:rPr>
        <w:t xml:space="preserve"> </w:t>
      </w:r>
      <w:r w:rsidR="004B61B4">
        <w:rPr>
          <w:lang w:val="en-US"/>
        </w:rPr>
        <w:lastRenderedPageBreak/>
        <w:fldChar w:fldCharType="begin"/>
      </w:r>
      <w:r w:rsidR="004B61B4">
        <w:rPr>
          <w:lang w:val="en-US"/>
        </w:rPr>
        <w:instrText xml:space="preserve"> ADDIN EN.CITE &lt;EndNote&gt;&lt;Cite&gt;&lt;Author&gt;Steyerberg&lt;/Author&gt;&lt;Year&gt;2001&lt;/Year&gt;&lt;RecNum&gt;237&lt;/RecNum&gt;&lt;DisplayText&gt;(Steyerberg et al., 2001)&lt;/DisplayText&gt;&lt;record&gt;&lt;rec-number&gt;237&lt;/rec-number&gt;&lt;foreign-keys&gt;&lt;key app="EN" db-id="s5at2da0rxdws8ew29spaefwt99szxvvfawz"&gt;237&lt;/key&gt;&lt;/foreign-keys&gt;&lt;ref-type name="Journal Article"&gt;17&lt;/ref-type&gt;&lt;contributors&gt;&lt;authors&gt;&lt;author&gt;Steyerberg, E. W.&lt;/author&gt;&lt;author&gt;Harrell, F. E., Jr.&lt;/author&gt;&lt;author&gt;Borsboom, G. J.&lt;/author&gt;&lt;author&gt;Eijkemans, M. J.&lt;/author&gt;&lt;author&gt;Vergouwe, Y.&lt;/author&gt;&lt;author&gt;Habbema, J. D.&lt;/author&gt;&lt;/authors&gt;&lt;/contributors&gt;&lt;auth-address&gt;Center for Clinical Decision Sciences, Ee 2091, Department of Public Health, Erasmus University, P.O. Box 1738, 3000 DR, Rotterdam, The Netherlands. steyerberg@mgz.fgg.eur.nl&lt;/auth-address&gt;&lt;titles&gt;&lt;title&gt;Internal validation of predictive models: efficiency of some procedures for logistic regression analysis&lt;/title&gt;&lt;secondary-title&gt;J Clin Epidemiol&lt;/secondary-title&gt;&lt;/titles&gt;&lt;periodical&gt;&lt;full-title&gt;J Clin Epidemiol&lt;/full-title&gt;&lt;/periodical&gt;&lt;pages&gt;774-81&lt;/pages&gt;&lt;volume&gt;54&lt;/volume&gt;&lt;number&gt;8&lt;/number&gt;&lt;keywords&gt;&lt;keyword&gt;Aged&lt;/keyword&gt;&lt;keyword&gt;Bias (Epidemiology)&lt;/keyword&gt;&lt;keyword&gt;Female&lt;/keyword&gt;&lt;keyword&gt;Humans&lt;/keyword&gt;&lt;keyword&gt;*Logistic Models&lt;/keyword&gt;&lt;keyword&gt;Male&lt;/keyword&gt;&lt;keyword&gt;Myocardial Infarction/*mortality&lt;/keyword&gt;&lt;keyword&gt;*Predictive Value of Tests&lt;/keyword&gt;&lt;keyword&gt;Reproducibility of Results&lt;/keyword&gt;&lt;keyword&gt;Research Support, Non-U.S. Gov&amp;apos;t&lt;/keyword&gt;&lt;/keywords&gt;&lt;dates&gt;&lt;year&gt;2001&lt;/year&gt;&lt;pub-dates&gt;&lt;date&gt;Aug&lt;/date&gt;&lt;/pub-dates&gt;&lt;/dates&gt;&lt;isbn&gt;0895-4356&lt;/isbn&gt;&lt;accession-num&gt;11470385&lt;/accession-num&gt;&lt;urls&gt;&lt;/urls&gt;&lt;/record&gt;&lt;/Cite&gt;&lt;/EndNote&gt;</w:instrText>
      </w:r>
      <w:r w:rsidR="004B61B4">
        <w:rPr>
          <w:lang w:val="en-US"/>
        </w:rPr>
        <w:fldChar w:fldCharType="separate"/>
      </w:r>
      <w:r w:rsidR="004B61B4">
        <w:rPr>
          <w:noProof/>
          <w:lang w:val="en-US"/>
        </w:rPr>
        <w:t>(</w:t>
      </w:r>
      <w:hyperlink w:anchor="_ENREF_33" w:tooltip="Steyerberg, 2001 #237" w:history="1">
        <w:r w:rsidR="00BF347F">
          <w:rPr>
            <w:noProof/>
            <w:lang w:val="en-US"/>
          </w:rPr>
          <w:t>Steyerberg et al., 2001</w:t>
        </w:r>
      </w:hyperlink>
      <w:r w:rsidR="004B61B4">
        <w:rPr>
          <w:noProof/>
          <w:lang w:val="en-US"/>
        </w:rPr>
        <w:t>)</w:t>
      </w:r>
      <w:r w:rsidR="004B61B4">
        <w:rPr>
          <w:lang w:val="en-US"/>
        </w:rPr>
        <w:fldChar w:fldCharType="end"/>
      </w:r>
      <w:r w:rsidRPr="00A250CB">
        <w:rPr>
          <w:lang w:val="en-US"/>
        </w:rPr>
        <w:t>.</w:t>
      </w:r>
      <w:r>
        <w:rPr>
          <w:lang w:val="en-US"/>
        </w:rPr>
        <w:t xml:space="preserve"> </w:t>
      </w:r>
      <w:r w:rsidRPr="00A250CB">
        <w:rPr>
          <w:lang w:val="en-US"/>
        </w:rPr>
        <w:t xml:space="preserve">Internally </w:t>
      </w:r>
      <w:r>
        <w:rPr>
          <w:lang w:val="en-US"/>
        </w:rPr>
        <w:t>v</w:t>
      </w:r>
      <w:r w:rsidRPr="00A250CB">
        <w:rPr>
          <w:lang w:val="en-US"/>
        </w:rPr>
        <w:t>alidated performance estimates can be derived f</w:t>
      </w:r>
      <w:r>
        <w:rPr>
          <w:lang w:val="en-US"/>
        </w:rPr>
        <w:t>or</w:t>
      </w:r>
      <w:r w:rsidRPr="00A250CB">
        <w:rPr>
          <w:lang w:val="en-US"/>
        </w:rPr>
        <w:t xml:space="preserve"> all measures as presented. </w:t>
      </w:r>
      <w:r>
        <w:rPr>
          <w:lang w:val="en-US"/>
        </w:rPr>
        <w:t xml:space="preserve">Ideally, performance is determined on fully independent validation data. Many differences may exist between the independent validation data and the development setting, which makes that we may often be testing transportability of prediction models in time or place rather than validating marker performance in </w:t>
      </w:r>
      <w:r w:rsidR="00524154">
        <w:rPr>
          <w:lang w:val="en-US"/>
        </w:rPr>
        <w:t>the</w:t>
      </w:r>
      <w:r>
        <w:rPr>
          <w:lang w:val="en-US"/>
        </w:rPr>
        <w:t xml:space="preserve"> more narrow sense</w:t>
      </w:r>
      <w:r w:rsidR="00524154">
        <w:rPr>
          <w:lang w:val="en-US"/>
        </w:rPr>
        <w:t xml:space="preserve"> of assessing reproducibility </w:t>
      </w:r>
      <w:r w:rsidR="004B61B4">
        <w:rPr>
          <w:lang w:val="en-US"/>
        </w:rPr>
        <w:fldChar w:fldCharType="begin"/>
      </w:r>
      <w:r w:rsidR="004B61B4">
        <w:rPr>
          <w:lang w:val="en-US"/>
        </w:rPr>
        <w:instrText xml:space="preserve"> ADDIN EN.CITE &lt;EndNote&gt;&lt;Cite&gt;&lt;Author&gt;Justice&lt;/Author&gt;&lt;Year&gt;1999&lt;/Year&gt;&lt;RecNum&gt;205&lt;/RecNum&gt;&lt;DisplayText&gt;(Justice et al., 1999)&lt;/DisplayText&gt;&lt;record&gt;&lt;rec-number&gt;205&lt;/rec-number&gt;&lt;foreign-keys&gt;&lt;key app="EN" db-id="s5at2da0rxdws8ew29spaefwt99szxvvfawz"&gt;205&lt;/key&gt;&lt;/foreign-keys&gt;&lt;ref-type name="Journal Article"&gt;17&lt;/ref-type&gt;&lt;contributors&gt;&lt;authors&gt;&lt;author&gt;Justice, A. C.&lt;/author&gt;&lt;author&gt;Covinsky, K. E.&lt;/author&gt;&lt;author&gt;Berlin, J. A.&lt;/author&gt;&lt;/authors&gt;&lt;/contributors&gt;&lt;titles&gt;&lt;title&gt;Assessing the generalizability of prognostic information&lt;/title&gt;&lt;secondary-title&gt;Ann Intern Med&lt;/secondary-title&gt;&lt;/titles&gt;&lt;periodical&gt;&lt;full-title&gt;Ann Intern Med&lt;/full-title&gt;&lt;/periodical&gt;&lt;pages&gt;515-24&lt;/pages&gt;&lt;volume&gt;130&lt;/volume&gt;&lt;number&gt;6&lt;/number&gt;&lt;keywords&gt;&lt;keyword&gt;Calibration&lt;/keyword&gt;&lt;keyword&gt;Case Report&lt;/keyword&gt;&lt;keyword&gt;Colonic Neoplasms/mortality/pathology&lt;/keyword&gt;&lt;keyword&gt;Evaluation Studies&lt;/keyword&gt;&lt;keyword&gt;Follow-Up Studies&lt;/keyword&gt;&lt;keyword&gt;Human&lt;/keyword&gt;&lt;keyword&gt;Male&lt;/keyword&gt;&lt;keyword&gt;Middle Age&lt;/keyword&gt;&lt;keyword&gt;Neoplasm Staging/methods/standards&lt;/keyword&gt;&lt;keyword&gt;*Prognosis&lt;/keyword&gt;&lt;keyword&gt;Rectal Neoplasms/mortality/pathology&lt;/keyword&gt;&lt;keyword&gt;Reproducibility of Results&lt;/keyword&gt;&lt;keyword&gt;Support, U.S. Gov&amp;apos;t, P.H.S.&lt;/keyword&gt;&lt;/keywords&gt;&lt;dates&gt;&lt;year&gt;1999&lt;/year&gt;&lt;/dates&gt;&lt;label&gt;99165400&lt;/label&gt;&lt;urls&gt;&lt;/urls&gt;&lt;/record&gt;&lt;/Cite&gt;&lt;/EndNote&gt;</w:instrText>
      </w:r>
      <w:r w:rsidR="004B61B4">
        <w:rPr>
          <w:lang w:val="en-US"/>
        </w:rPr>
        <w:fldChar w:fldCharType="separate"/>
      </w:r>
      <w:r w:rsidR="004B61B4">
        <w:rPr>
          <w:noProof/>
          <w:lang w:val="en-US"/>
        </w:rPr>
        <w:t>(</w:t>
      </w:r>
      <w:hyperlink w:anchor="_ENREF_14" w:tooltip="Justice, 1999 #205" w:history="1">
        <w:r w:rsidR="00BF347F">
          <w:rPr>
            <w:noProof/>
            <w:lang w:val="en-US"/>
          </w:rPr>
          <w:t>Justice et al., 1999</w:t>
        </w:r>
      </w:hyperlink>
      <w:r w:rsidR="004B61B4">
        <w:rPr>
          <w:noProof/>
          <w:lang w:val="en-US"/>
        </w:rPr>
        <w:t>)</w:t>
      </w:r>
      <w:r w:rsidR="004B61B4">
        <w:rPr>
          <w:lang w:val="en-US"/>
        </w:rPr>
        <w:fldChar w:fldCharType="end"/>
      </w:r>
      <w:r w:rsidR="008C612A">
        <w:rPr>
          <w:lang w:val="en-US"/>
        </w:rPr>
        <w:t>.</w:t>
      </w:r>
      <w:r w:rsidR="00D93B06">
        <w:rPr>
          <w:lang w:val="en-US"/>
        </w:rPr>
        <w:t xml:space="preserve"> </w:t>
      </w:r>
      <w:r>
        <w:rPr>
          <w:lang w:val="en-US"/>
        </w:rPr>
        <w:t>It is imperative that the NRI for quantifying added value of a marker should only be calculated after recalibrating</w:t>
      </w:r>
      <w:r w:rsidR="008C2397">
        <w:rPr>
          <w:lang w:val="en-US"/>
        </w:rPr>
        <w:t xml:space="preserve"> or refitting model predictions </w:t>
      </w:r>
      <w:r w:rsidR="004B61B4">
        <w:rPr>
          <w:lang w:val="en-US"/>
        </w:rPr>
        <w:fldChar w:fldCharType="begin"/>
      </w:r>
      <w:r w:rsidR="004B61B4">
        <w:rPr>
          <w:lang w:val="en-US"/>
        </w:rPr>
        <w:instrText xml:space="preserve"> ADDIN EN.CITE &lt;EndNote&gt;&lt;Cite&gt;&lt;Author&gt;Hilden&lt;/Author&gt;&lt;Year&gt;2013&lt;/Year&gt;&lt;RecNum&gt;891&lt;/RecNum&gt;&lt;DisplayText&gt;(Hilden &amp;amp; Gerds, 2013)&lt;/DisplayText&gt;&lt;record&gt;&lt;rec-number&gt;891&lt;/rec-number&gt;&lt;foreign-keys&gt;&lt;key app="EN" db-id="s5at2da0rxdws8ew29spaefwt99szxvvfawz"&gt;891&lt;/key&gt;&lt;/foreign-keys&gt;&lt;ref-type name="Journal Article"&gt;17&lt;/ref-type&gt;&lt;contributors&gt;&lt;authors&gt;&lt;author&gt;Hilden, J.&lt;/author&gt;&lt;author&gt;Gerds, T. A.&lt;/author&gt;&lt;/authors&gt;&lt;/contributors&gt;&lt;auth-address&gt;Department of Biostatistics, University of Copenhagen, Denmark.&lt;/auth-address&gt;&lt;titles&gt;&lt;title&gt;A note on the evaluation of novel biomarkers: do not rely on integrated discrimination improvement and net reclassification index&lt;/title&gt;&lt;secondary-title&gt;Stat Med&lt;/secondary-title&gt;&lt;alt-title&gt;Statistics in medicine&lt;/alt-title&gt;&lt;/titles&gt;&lt;periodical&gt;&lt;full-title&gt;Stat Med&lt;/full-title&gt;&lt;/periodical&gt;&lt;dates&gt;&lt;year&gt;2013&lt;/year&gt;&lt;pub-dates&gt;&lt;date&gt;Apr 2&lt;/date&gt;&lt;/pub-dates&gt;&lt;/dates&gt;&lt;isbn&gt;1097-0258 (Electronic)&amp;#xD;0277-6715 (Linking)&lt;/isbn&gt;&lt;accession-num&gt;23553436&lt;/accession-num&gt;&lt;urls&gt;&lt;related-urls&gt;&lt;url&gt;http://www.ncbi.nlm.nih.gov/pubmed/23553436&lt;/url&gt;&lt;/related-urls&gt;&lt;/urls&gt;&lt;electronic-resource-num&gt;10.1002/sim.5804&lt;/electronic-resource-num&gt;&lt;/record&gt;&lt;/Cite&gt;&lt;/EndNote&gt;</w:instrText>
      </w:r>
      <w:r w:rsidR="004B61B4">
        <w:rPr>
          <w:lang w:val="en-US"/>
        </w:rPr>
        <w:fldChar w:fldCharType="separate"/>
      </w:r>
      <w:r w:rsidR="004B61B4">
        <w:rPr>
          <w:noProof/>
          <w:lang w:val="en-US"/>
        </w:rPr>
        <w:t>(</w:t>
      </w:r>
      <w:hyperlink w:anchor="_ENREF_13" w:tooltip="Hilden, 2013 #891" w:history="1">
        <w:r w:rsidR="00BF347F">
          <w:rPr>
            <w:noProof/>
            <w:lang w:val="en-US"/>
          </w:rPr>
          <w:t>Hilden &amp; Gerds, 2013</w:t>
        </w:r>
      </w:hyperlink>
      <w:r w:rsidR="004B61B4">
        <w:rPr>
          <w:noProof/>
          <w:lang w:val="en-US"/>
        </w:rPr>
        <w:t>)</w:t>
      </w:r>
      <w:r w:rsidR="004B61B4">
        <w:rPr>
          <w:lang w:val="en-US"/>
        </w:rPr>
        <w:fldChar w:fldCharType="end"/>
      </w:r>
      <w:r w:rsidR="00BF347F">
        <w:rPr>
          <w:lang w:val="en-US"/>
        </w:rPr>
        <w:t xml:space="preserve"> </w:t>
      </w:r>
      <w:r w:rsidR="00BF347F">
        <w:rPr>
          <w:lang w:val="en-US"/>
        </w:rPr>
        <w:fldChar w:fldCharType="begin"/>
      </w:r>
      <w:r w:rsidR="00BF347F">
        <w:rPr>
          <w:lang w:val="en-US"/>
        </w:rPr>
        <w:instrText xml:space="preserve"> ADDIN EN.CITE &lt;EndNote&gt;&lt;Cite&gt;&lt;Author&gt;Leening&lt;/Author&gt;&lt;Year&gt;2014&lt;/Year&gt;&lt;RecNum&gt;895&lt;/RecNum&gt;&lt;DisplayText&gt;(Leening et al., 2014a)&lt;/DisplayText&gt;&lt;record&gt;&lt;rec-number&gt;895&lt;/rec-number&gt;&lt;foreign-keys&gt;&lt;key app="EN" db-id="s5at2da0rxdws8ew29spaefwt99szxvvfawz"&gt;895&lt;/key&gt;&lt;/foreign-keys&gt;&lt;ref-type name="Journal Article"&gt;17&lt;/ref-type&gt;&lt;contributors&gt;&lt;authors&gt;&lt;author&gt;Leening, M. J.&lt;/author&gt;&lt;author&gt;Steyerberg, E.W. &lt;/author&gt;&lt;author&gt;Van Calster, B. &lt;/author&gt;&lt;author&gt;D’Agostino, R. B.&lt;/author&gt;&lt;author&gt;Pencina, M. J. &lt;/author&gt;&lt;/authors&gt;&lt;/contributors&gt;&lt;titles&gt;&lt;title&gt;Net reclassification improvement and integrated discrimination improvement require calibrated models: relevance from a marker and model perspective.&lt;/title&gt;&lt;secondary-title&gt;Stat Med&lt;/secondary-title&gt;&lt;/titles&gt;&lt;periodical&gt;&lt;full-title&gt;Stat Med&lt;/full-title&gt;&lt;/periodical&gt;&lt;volume&gt;in press&lt;/volume&gt;&lt;dates&gt;&lt;year&gt;2014&lt;/year&gt;&lt;/dates&gt;&lt;urls&gt;&lt;/urls&gt;&lt;/record&gt;&lt;/Cite&gt;&lt;/EndNote&gt;</w:instrText>
      </w:r>
      <w:r w:rsidR="00BF347F">
        <w:rPr>
          <w:lang w:val="en-US"/>
        </w:rPr>
        <w:fldChar w:fldCharType="separate"/>
      </w:r>
      <w:r w:rsidR="00BF347F">
        <w:rPr>
          <w:noProof/>
          <w:lang w:val="en-US"/>
        </w:rPr>
        <w:t>(</w:t>
      </w:r>
      <w:hyperlink w:anchor="_ENREF_16" w:tooltip="Leening, 2014 #895" w:history="1">
        <w:r w:rsidR="00BF347F">
          <w:rPr>
            <w:noProof/>
            <w:lang w:val="en-US"/>
          </w:rPr>
          <w:t>Leening et al., 2014a</w:t>
        </w:r>
      </w:hyperlink>
      <w:r w:rsidR="00BF347F">
        <w:rPr>
          <w:noProof/>
          <w:lang w:val="en-US"/>
        </w:rPr>
        <w:t>)</w:t>
      </w:r>
      <w:r w:rsidR="00BF347F">
        <w:rPr>
          <w:lang w:val="en-US"/>
        </w:rPr>
        <w:fldChar w:fldCharType="end"/>
      </w:r>
      <w:r w:rsidR="008C612A">
        <w:rPr>
          <w:lang w:val="en-US"/>
        </w:rPr>
        <w:t>.</w:t>
      </w:r>
      <w:r w:rsidR="008C2397">
        <w:rPr>
          <w:lang w:val="en-US"/>
        </w:rPr>
        <w:t xml:space="preserve"> </w:t>
      </w:r>
      <w:r>
        <w:rPr>
          <w:lang w:val="en-US"/>
        </w:rPr>
        <w:t xml:space="preserve">Such recalibration places the predicted risks with and without the marker at an equal and fair level with respect to calibration. The NRI then indicates the improvement in classification attributable to the marker, but conditional on adequate calibration. An alternative approach is to evaluate reclassification in the context of better clinical decision making. We may then take predicted risks from a model with and without a marker literally, i.e. without recalibration, and preferably use performance measures that are consistent with a decision making framework, such as the </w:t>
      </w:r>
      <w:r w:rsidRPr="00A250CB">
        <w:rPr>
          <w:rFonts w:ascii="Lucida Grande Greek" w:hAnsi="Lucida Grande Greek" w:cs="Lucida Grande Greek"/>
          <w:b/>
          <w:color w:val="000000"/>
          <w:lang w:val="en-US"/>
        </w:rPr>
        <w:t>Δ</w:t>
      </w:r>
      <w:r>
        <w:rPr>
          <w:lang w:val="en-US"/>
        </w:rPr>
        <w:t xml:space="preserve">NB, </w:t>
      </w:r>
      <w:r w:rsidRPr="00A250CB">
        <w:rPr>
          <w:rFonts w:ascii="Lucida Grande Greek" w:hAnsi="Lucida Grande Greek" w:cs="Lucida Grande Greek"/>
          <w:b/>
          <w:color w:val="000000"/>
          <w:lang w:val="en-US"/>
        </w:rPr>
        <w:t>Δ</w:t>
      </w:r>
      <w:r w:rsidR="008C612A">
        <w:rPr>
          <w:lang w:val="en-US"/>
        </w:rPr>
        <w:t xml:space="preserve">RU, or </w:t>
      </w:r>
      <w:proofErr w:type="spellStart"/>
      <w:r w:rsidR="008C612A">
        <w:rPr>
          <w:lang w:val="en-US"/>
        </w:rPr>
        <w:t>wNRI</w:t>
      </w:r>
      <w:proofErr w:type="spellEnd"/>
      <w:r w:rsidR="009D251F">
        <w:rPr>
          <w:lang w:val="en-US"/>
        </w:rPr>
        <w:t xml:space="preserve"> </w:t>
      </w:r>
      <w:r w:rsidR="004B61B4">
        <w:rPr>
          <w:lang w:val="en-US"/>
        </w:rPr>
        <w:fldChar w:fldCharType="begin"/>
      </w:r>
      <w:r w:rsidR="004B61B4">
        <w:rPr>
          <w:lang w:val="en-US"/>
        </w:rPr>
        <w:instrText xml:space="preserve"> ADDIN EN.CITE &lt;EndNote&gt;&lt;Cite&gt;&lt;Author&gt;Van Calster&lt;/Author&gt;&lt;Year&gt;2013&lt;/Year&gt;&lt;RecNum&gt;877&lt;/RecNum&gt;&lt;DisplayText&gt;(Van Calster et al., 2013)&lt;/DisplayText&gt;&lt;record&gt;&lt;rec-number&gt;877&lt;/rec-number&gt;&lt;foreign-keys&gt;&lt;key app="EN" db-id="s5at2da0rxdws8ew29spaefwt99szxvvfawz"&gt;877&lt;/key&gt;&lt;/foreign-keys&gt;&lt;ref-type name="Journal Article"&gt;17&lt;/ref-type&gt;&lt;contributors&gt;&lt;authors&gt;&lt;author&gt;Van Calster, B.&lt;/author&gt;&lt;author&gt;Vickers, A. J.&lt;/author&gt;&lt;author&gt;Pencina, M. J.&lt;/author&gt;&lt;author&gt;Baker, S. G.&lt;/author&gt;&lt;author&gt;Timmerman, D.&lt;/author&gt;&lt;author&gt;Steyerberg, E. W.&lt;/author&gt;&lt;/authors&gt;&lt;/contributors&gt;&lt;auth-address&gt;Department of Development and Regeneration, KU Leuven-University of Leuven, Leuven, Belgium. ben.vancalster@med.kuleuven.be&lt;/auth-address&gt;&lt;titles&gt;&lt;title&gt;Evaluation of markers and risk prediction models: overview of relationships between NRI and decision-analytic measures&lt;/title&gt;&lt;secondary-title&gt;Med Decis Making&lt;/secondary-title&gt;&lt;/titles&gt;&lt;periodical&gt;&lt;full-title&gt;Med Decis Making&lt;/full-title&gt;&lt;/periodical&gt;&lt;pages&gt;490-501&lt;/pages&gt;&lt;volume&gt;33&lt;/volume&gt;&lt;number&gt;4&lt;/number&gt;&lt;edition&gt;2013/01/15&lt;/edition&gt;&lt;keywords&gt;&lt;keyword&gt;Calibration&lt;/keyword&gt;&lt;keyword&gt;*Decision Support Techniques&lt;/keyword&gt;&lt;keyword&gt;Female&lt;/keyword&gt;&lt;keyword&gt;Humans&lt;/keyword&gt;&lt;keyword&gt;*Models, Theoretical&lt;/keyword&gt;&lt;keyword&gt;Ovarian Neoplasms/diagnosis&lt;/keyword&gt;&lt;keyword&gt;ROC Curve&lt;/keyword&gt;&lt;keyword&gt;Risk&lt;/keyword&gt;&lt;keyword&gt;Tumor Markers, Biological/blood&lt;/keyword&gt;&lt;/keywords&gt;&lt;dates&gt;&lt;year&gt;2013&lt;/year&gt;&lt;pub-dates&gt;&lt;date&gt;May&lt;/date&gt;&lt;/pub-dates&gt;&lt;/dates&gt;&lt;isbn&gt;1552-681X (Electronic)&amp;#xD;0272-989X (Linking)&lt;/isbn&gt;&lt;accession-num&gt;23313931&lt;/accession-num&gt;&lt;urls&gt;&lt;related-urls&gt;&lt;url&gt;http://www.ncbi.nlm.nih.gov/pubmed/23313931&lt;/url&gt;&lt;/related-urls&gt;&lt;/urls&gt;&lt;electronic-resource-num&gt;0272989X12470757 [pii]&amp;#xD;10.1177/0272989X12470757&lt;/electronic-resource-num&gt;&lt;language&gt;eng&lt;/language&gt;&lt;/record&gt;&lt;/Cite&gt;&lt;/EndNote&gt;</w:instrText>
      </w:r>
      <w:r w:rsidR="004B61B4">
        <w:rPr>
          <w:lang w:val="en-US"/>
        </w:rPr>
        <w:fldChar w:fldCharType="separate"/>
      </w:r>
      <w:r w:rsidR="004B61B4">
        <w:rPr>
          <w:noProof/>
          <w:lang w:val="en-US"/>
        </w:rPr>
        <w:t>(</w:t>
      </w:r>
      <w:hyperlink w:anchor="_ENREF_40" w:tooltip="Van Calster, 2013 #877" w:history="1">
        <w:r w:rsidR="00BF347F">
          <w:rPr>
            <w:noProof/>
            <w:lang w:val="en-US"/>
          </w:rPr>
          <w:t>Van Calster et al., 2013</w:t>
        </w:r>
      </w:hyperlink>
      <w:r w:rsidR="004B61B4">
        <w:rPr>
          <w:noProof/>
          <w:lang w:val="en-US"/>
        </w:rPr>
        <w:t>)</w:t>
      </w:r>
      <w:r w:rsidR="004B61B4">
        <w:rPr>
          <w:lang w:val="en-US"/>
        </w:rPr>
        <w:fldChar w:fldCharType="end"/>
      </w:r>
      <w:r w:rsidR="008C612A">
        <w:rPr>
          <w:lang w:val="en-US"/>
        </w:rPr>
        <w:t>.</w:t>
      </w:r>
    </w:p>
    <w:p w:rsidR="00B85B9F" w:rsidRPr="00A250CB" w:rsidRDefault="00B85B9F" w:rsidP="00B15D4D">
      <w:pPr>
        <w:spacing w:line="360" w:lineRule="auto"/>
        <w:rPr>
          <w:lang w:val="en-US"/>
        </w:rPr>
      </w:pPr>
      <w:r>
        <w:rPr>
          <w:lang w:val="en-US"/>
        </w:rPr>
        <w:tab/>
        <w:t>A final limitation is that we focused on prediction of a binary endpoint, without considering the time-to-event nature of the data in our example. In several graphs and tables we conditioned on the event status, which is a simplification that is especially problematic if censoring occurs in many subje</w:t>
      </w:r>
      <w:r w:rsidR="00FB268E">
        <w:rPr>
          <w:lang w:val="en-US"/>
        </w:rPr>
        <w:t>cts before the end of follow-up.</w:t>
      </w:r>
      <w:r>
        <w:rPr>
          <w:lang w:val="en-US"/>
        </w:rPr>
        <w:t xml:space="preserve"> The Net Reclassification Risk graph can readily be made with Kaplan-Meier estimates rather than observed event rates</w:t>
      </w:r>
      <w:r w:rsidR="00907129">
        <w:rPr>
          <w:lang w:val="en-US"/>
        </w:rPr>
        <w:t xml:space="preserve"> </w:t>
      </w:r>
      <w:r w:rsidR="004B61B4">
        <w:rPr>
          <w:lang w:val="en-US"/>
        </w:rPr>
        <w:fldChar w:fldCharType="begin"/>
      </w:r>
      <w:r w:rsidR="004B61B4">
        <w:rPr>
          <w:lang w:val="en-US"/>
        </w:rPr>
        <w:instrText xml:space="preserve"> ADDIN EN.CITE &lt;EndNote&gt;&lt;Cite&gt;&lt;Author&gt;Steyerberg&lt;/Author&gt;&lt;Year&gt;2010&lt;/Year&gt;&lt;RecNum&gt;672&lt;/RecNum&gt;&lt;DisplayText&gt;(Steyerberg &amp;amp; Pencina, 2010)&lt;/DisplayText&gt;&lt;record&gt;&lt;rec-number&gt;672&lt;/rec-number&gt;&lt;foreign-keys&gt;&lt;key app="EN" db-id="s5at2da0rxdws8ew29spaefwt99szxvvfawz"&gt;672&lt;/key&gt;&lt;/foreign-keys&gt;&lt;ref-type name="Journal Article"&gt;17&lt;/ref-type&gt;&lt;contributors&gt;&lt;authors&gt;&lt;author&gt;Steyerberg, E. W.&lt;/author&gt;&lt;author&gt;Pencina, M. J.&lt;/author&gt;&lt;/authors&gt;&lt;/contributors&gt;&lt;titles&gt;&lt;title&gt;Reclassification calculations for persons with incomplete follow-up&lt;/title&gt;&lt;secondary-title&gt;Ann Intern Med&lt;/secondary-title&gt;&lt;alt-title&gt;Annals of internal medicine&lt;/alt-title&gt;&lt;/titles&gt;&lt;periodical&gt;&lt;full-title&gt;Ann Intern Med&lt;/full-title&gt;&lt;/periodical&gt;&lt;alt-periodical&gt;&lt;full-title&gt;NTvG&lt;/full-title&gt;&lt;abbr-1&gt;Annals of internal medicine&lt;/abbr-1&gt;&lt;/alt-periodical&gt;&lt;pages&gt;195-7&lt;/pages&gt;&lt;volume&gt;152&lt;/volume&gt;&lt;number&gt;3&lt;/number&gt;&lt;dates&gt;&lt;year&gt;2010&lt;/year&gt;&lt;pub-dates&gt;&lt;date&gt;Feb 2&lt;/date&gt;&lt;/pub-dates&gt;&lt;/dates&gt;&lt;isbn&gt;1539-3704 (Electronic)&amp;#xD;0003-4819 (Linking)&lt;/isbn&gt;&lt;accession-num&gt;20124243&lt;/accession-num&gt;&lt;urls&gt;&lt;related-urls&gt;&lt;url&gt;http://www.ncbi.nlm.nih.gov/entrez/query.fcgi?cmd=Retrieve&amp;amp;db=PubMed&amp;amp;dopt=Citation&amp;amp;list_uids=20124243 &lt;/url&gt;&lt;/related-urls&gt;&lt;/urls&gt;&lt;language&gt;eng&lt;/language&gt;&lt;/record&gt;&lt;/Cite&gt;&lt;/EndNote&gt;</w:instrText>
      </w:r>
      <w:r w:rsidR="004B61B4">
        <w:rPr>
          <w:lang w:val="en-US"/>
        </w:rPr>
        <w:fldChar w:fldCharType="separate"/>
      </w:r>
      <w:r w:rsidR="004B61B4">
        <w:rPr>
          <w:noProof/>
          <w:lang w:val="en-US"/>
        </w:rPr>
        <w:t>(</w:t>
      </w:r>
      <w:hyperlink w:anchor="_ENREF_35" w:tooltip="Steyerberg, 2010 #672" w:history="1">
        <w:r w:rsidR="00BF347F">
          <w:rPr>
            <w:noProof/>
            <w:lang w:val="en-US"/>
          </w:rPr>
          <w:t>Steyerberg &amp; Pencina, 2010</w:t>
        </w:r>
      </w:hyperlink>
      <w:r w:rsidR="004B61B4">
        <w:rPr>
          <w:noProof/>
          <w:lang w:val="en-US"/>
        </w:rPr>
        <w:t>)</w:t>
      </w:r>
      <w:r w:rsidR="004B61B4">
        <w:rPr>
          <w:lang w:val="en-US"/>
        </w:rPr>
        <w:fldChar w:fldCharType="end"/>
      </w:r>
      <w:r>
        <w:rPr>
          <w:lang w:val="en-US"/>
        </w:rPr>
        <w:t xml:space="preserve">, and definitions for survival data are available for many performance measures, such as </w:t>
      </w:r>
      <w:proofErr w:type="spellStart"/>
      <w:r>
        <w:rPr>
          <w:lang w:val="en-US"/>
        </w:rPr>
        <w:t>Nagelkerke’s</w:t>
      </w:r>
      <w:proofErr w:type="spellEnd"/>
      <w:r>
        <w:rPr>
          <w:lang w:val="en-US"/>
        </w:rPr>
        <w:t xml:space="preserve"> R</w:t>
      </w:r>
      <w:r w:rsidRPr="00D947E9">
        <w:rPr>
          <w:vertAlign w:val="superscript"/>
          <w:lang w:val="en-US"/>
        </w:rPr>
        <w:t>2</w:t>
      </w:r>
      <w:r>
        <w:rPr>
          <w:lang w:val="en-US"/>
        </w:rPr>
        <w:t>, Harrell’s or Uno’s c statistic (equivalent to AUC for binary endpoints)</w:t>
      </w:r>
      <w:r w:rsidR="008C612A">
        <w:rPr>
          <w:lang w:val="en-US"/>
        </w:rPr>
        <w:t xml:space="preserve"> </w:t>
      </w:r>
      <w:r w:rsidR="004B61B4">
        <w:rPr>
          <w:lang w:val="en-US"/>
        </w:rPr>
        <w:fldChar w:fldCharType="begin"/>
      </w:r>
      <w:r w:rsidR="004B61B4">
        <w:rPr>
          <w:lang w:val="en-US"/>
        </w:rPr>
        <w:instrText xml:space="preserve"> ADDIN EN.CITE &lt;EndNote&gt;&lt;Cite&gt;&lt;Author&gt;Uno&lt;/Author&gt;&lt;Year&gt;2011&lt;/Year&gt;&lt;RecNum&gt;116&lt;/RecNum&gt;&lt;DisplayText&gt;(Uno et al., 2011)&lt;/DisplayText&gt;&lt;record&gt;&lt;rec-number&gt;116&lt;/rec-number&gt;&lt;foreign-keys&gt;&lt;key app="EN" db-id="rtv2prz2p0ttw3ezv01x0raovvzvd0wfxprr"&gt;116&lt;/key&gt;&lt;/foreign-keys&gt;&lt;ref-type name="Journal Article"&gt;17&lt;/ref-type&gt;&lt;contributors&gt;&lt;authors&gt;&lt;author&gt;Uno, H.&lt;/author&gt;&lt;author&gt;Cai, T.&lt;/author&gt;&lt;author&gt;Pencina, M. J.&lt;/author&gt;&lt;author&gt;D&amp;apos;Agostino, R. B.&lt;/author&gt;&lt;author&gt;Wei, L. J.&lt;/author&gt;&lt;/authors&gt;&lt;/contributors&gt;&lt;auth-address&gt;Department of Biostatistics and Computational Biology, Dana Farber Cancer Institute, Boston, MA, USA. huno@jimmy.harvard.edu&lt;/auth-address&gt;&lt;titles&gt;&lt;title&gt;On the C-statistics for evaluating overall adequacy of risk prediction procedures with censored survival data&lt;/title&gt;&lt;secondary-title&gt;Stat Med&lt;/secondary-title&gt;&lt;/titles&gt;&lt;periodical&gt;&lt;full-title&gt;Stat Med&lt;/full-title&gt;&lt;/periodical&gt;&lt;pages&gt;1105-17&lt;/pages&gt;&lt;volume&gt;30&lt;/volume&gt;&lt;number&gt;10&lt;/number&gt;&lt;edition&gt;2011/04/13&lt;/edition&gt;&lt;keywords&gt;&lt;keyword&gt;Breast Neoplasms/epidemiology&lt;/keyword&gt;&lt;keyword&gt;Cardiovascular Diseases/epidemiology&lt;/keyword&gt;&lt;keyword&gt;*Data Interpretation, Statistical&lt;/keyword&gt;&lt;keyword&gt;Evidence-Based Medicine/*methods&lt;/keyword&gt;&lt;keyword&gt;Female&lt;/keyword&gt;&lt;keyword&gt;Humans&lt;/keyword&gt;&lt;keyword&gt;Kaplan-Meier Estimate&lt;/keyword&gt;&lt;keyword&gt;Male&lt;/keyword&gt;&lt;keyword&gt;Risk Assessment/*methods&lt;/keyword&gt;&lt;/keywords&gt;&lt;dates&gt;&lt;year&gt;2011&lt;/year&gt;&lt;pub-dates&gt;&lt;date&gt;May 10&lt;/date&gt;&lt;/pub-dates&gt;&lt;/dates&gt;&lt;isbn&gt;1097-0258 (Electronic)&amp;#xD;0277-6715 (Linking)&lt;/isbn&gt;&lt;accession-num&gt;21484848&lt;/accession-num&gt;&lt;urls&gt;&lt;related-urls&gt;&lt;url&gt;http://www.ncbi.nlm.nih.gov/pubmed/21484848&lt;/url&gt;&lt;/related-urls&gt;&lt;/urls&gt;&lt;custom2&gt;3079915&lt;/custom2&gt;&lt;electronic-resource-num&gt;10.1002/sim.4154&lt;/electronic-resource-num&gt;&lt;language&gt;eng&lt;/language&gt;&lt;/record&gt;&lt;/Cite&gt;&lt;/EndNote&gt;</w:instrText>
      </w:r>
      <w:r w:rsidR="004B61B4">
        <w:rPr>
          <w:lang w:val="en-US"/>
        </w:rPr>
        <w:fldChar w:fldCharType="separate"/>
      </w:r>
      <w:r w:rsidR="004B61B4">
        <w:rPr>
          <w:noProof/>
          <w:lang w:val="en-US"/>
        </w:rPr>
        <w:t>(</w:t>
      </w:r>
      <w:hyperlink w:anchor="_ENREF_38" w:tooltip="Uno, 2011 #116" w:history="1">
        <w:r w:rsidR="00BF347F">
          <w:rPr>
            <w:noProof/>
            <w:lang w:val="en-US"/>
          </w:rPr>
          <w:t>Uno et al., 2011</w:t>
        </w:r>
      </w:hyperlink>
      <w:r w:rsidR="004B61B4">
        <w:rPr>
          <w:noProof/>
          <w:lang w:val="en-US"/>
        </w:rPr>
        <w:t>)</w:t>
      </w:r>
      <w:r w:rsidR="004B61B4">
        <w:rPr>
          <w:lang w:val="en-US"/>
        </w:rPr>
        <w:fldChar w:fldCharType="end"/>
      </w:r>
      <w:r>
        <w:rPr>
          <w:lang w:val="en-US"/>
        </w:rPr>
        <w:t>, the IDI and NRI</w:t>
      </w:r>
      <w:r w:rsidR="00D93B06">
        <w:rPr>
          <w:lang w:val="en-US"/>
        </w:rPr>
        <w:t xml:space="preserve"> </w:t>
      </w:r>
      <w:r w:rsidR="004B61B4">
        <w:rPr>
          <w:lang w:val="en-US"/>
        </w:rPr>
        <w:fldChar w:fldCharType="begin"/>
      </w:r>
      <w:r w:rsidR="004B61B4">
        <w:rPr>
          <w:lang w:val="en-US"/>
        </w:rPr>
        <w:instrText xml:space="preserve"> ADDIN EN.CITE &lt;EndNote&gt;&lt;Cite&gt;&lt;Author&gt;Pencina&lt;/Author&gt;&lt;Year&gt;2011&lt;/Year&gt;&lt;RecNum&gt;760&lt;/RecNum&gt;&lt;DisplayText&gt;(Pencina et al., 2011)&lt;/DisplayText&gt;&lt;record&gt;&lt;rec-number&gt;760&lt;/rec-number&gt;&lt;foreign-keys&gt;&lt;key app="EN" db-id="s5at2da0rxdws8ew29spaefwt99szxvvfawz"&gt;760&lt;/key&gt;&lt;/foreign-keys&gt;&lt;ref-type name="Journal Article"&gt;17&lt;/ref-type&gt;&lt;contributors&gt;&lt;authors&gt;&lt;author&gt;Pencina, M. J.&lt;/author&gt;&lt;author&gt;D&amp;apos;Agostino, R. B., Sr.&lt;/author&gt;&lt;author&gt;Steyerberg, E. W.&lt;/author&gt;&lt;/authors&gt;&lt;/contributors&gt;&lt;auth-address&gt;Department of Biostatistics, Boston University, 801 Massachusetts Ave, Boston, MA 02118, USA. mpencina@bu.edu&lt;/auth-address&gt;&lt;titles&gt;&lt;title&gt;Extensions of net reclassification improvement calculations to measure usefulness of new biomarkers&lt;/title&gt;&lt;secondary-title&gt;Stat Med&lt;/secondary-title&gt;&lt;/titles&gt;&lt;periodical&gt;&lt;full-title&gt;Stat Med&lt;/full-title&gt;&lt;/periodical&gt;&lt;pages&gt;11-21&lt;/pages&gt;&lt;volume&gt;30&lt;/volume&gt;&lt;number&gt;1&lt;/number&gt;&lt;edition&gt;2011/01/05&lt;/edition&gt;&lt;keywords&gt;&lt;keyword&gt;Adult&lt;/keyword&gt;&lt;keyword&gt;Aged&lt;/keyword&gt;&lt;keyword&gt;Biological Markers/*analysis&lt;/keyword&gt;&lt;keyword&gt;Case-Control Studies&lt;/keyword&gt;&lt;keyword&gt;Coronary Disease/epidemiology/metabolism&lt;/keyword&gt;&lt;keyword&gt;Female&lt;/keyword&gt;&lt;keyword&gt;Humans&lt;/keyword&gt;&lt;keyword&gt;Kaplan-Meier Estimate&lt;/keyword&gt;&lt;keyword&gt;Longitudinal Studies&lt;/keyword&gt;&lt;keyword&gt;Male&lt;/keyword&gt;&lt;keyword&gt;Middle Aged&lt;/keyword&gt;&lt;keyword&gt;*Models, Biological&lt;/keyword&gt;&lt;keyword&gt;*Models, Statistical&lt;/keyword&gt;&lt;keyword&gt;Risk Assessment/*methods&lt;/keyword&gt;&lt;/keywords&gt;&lt;dates&gt;&lt;year&gt;2011&lt;/year&gt;&lt;pub-dates&gt;&lt;date&gt;Jan 15&lt;/date&gt;&lt;/pub-dates&gt;&lt;/dates&gt;&lt;isbn&gt;1097-0258 (Electronic)&amp;#xD;0277-6715 (Linking)&lt;/isbn&gt;&lt;accession-num&gt;21204120&lt;/accession-num&gt;&lt;urls&gt;&lt;related-urls&gt;&lt;url&gt;http://www.ncbi.nlm.nih.gov/entrez/query.fcgi?cmd=Retrieve&amp;amp;db=PubMed&amp;amp;dopt=Citation&amp;amp;list_uids=21204120&lt;/url&gt;&lt;/related-urls&gt;&lt;/urls&gt;&lt;electronic-resource-num&gt;10.1002/sim.4085&lt;/electronic-resource-num&gt;&lt;language&gt;eng&lt;/language&gt;&lt;/record&gt;&lt;/Cite&gt;&lt;/EndNote&gt;</w:instrText>
      </w:r>
      <w:r w:rsidR="004B61B4">
        <w:rPr>
          <w:lang w:val="en-US"/>
        </w:rPr>
        <w:fldChar w:fldCharType="separate"/>
      </w:r>
      <w:r w:rsidR="004B61B4">
        <w:rPr>
          <w:noProof/>
          <w:lang w:val="en-US"/>
        </w:rPr>
        <w:t>(</w:t>
      </w:r>
      <w:hyperlink w:anchor="_ENREF_26" w:tooltip="Pencina, 2011 #760" w:history="1">
        <w:r w:rsidR="00BF347F">
          <w:rPr>
            <w:noProof/>
            <w:lang w:val="en-US"/>
          </w:rPr>
          <w:t>Pencina et al., 2011</w:t>
        </w:r>
      </w:hyperlink>
      <w:r w:rsidR="004B61B4">
        <w:rPr>
          <w:noProof/>
          <w:lang w:val="en-US"/>
        </w:rPr>
        <w:t>)</w:t>
      </w:r>
      <w:r w:rsidR="004B61B4">
        <w:rPr>
          <w:lang w:val="en-US"/>
        </w:rPr>
        <w:fldChar w:fldCharType="end"/>
      </w:r>
      <w:r w:rsidR="008C612A">
        <w:rPr>
          <w:lang w:val="en-US"/>
        </w:rPr>
        <w:t>,</w:t>
      </w:r>
      <w:r>
        <w:rPr>
          <w:lang w:val="en-US"/>
        </w:rPr>
        <w:t xml:space="preserve"> and the </w:t>
      </w:r>
      <w:r w:rsidRPr="00A250CB">
        <w:rPr>
          <w:rFonts w:ascii="Lucida Grande Greek" w:hAnsi="Lucida Grande Greek" w:cs="Lucida Grande Greek"/>
          <w:b/>
          <w:color w:val="000000"/>
          <w:lang w:val="en-US"/>
        </w:rPr>
        <w:t>Δ</w:t>
      </w:r>
      <w:r>
        <w:rPr>
          <w:lang w:val="en-US"/>
        </w:rPr>
        <w:t>NB</w:t>
      </w:r>
      <w:r w:rsidR="00D93B06">
        <w:rPr>
          <w:lang w:val="en-US"/>
        </w:rPr>
        <w:t xml:space="preserve"> </w:t>
      </w:r>
      <w:r w:rsidR="004B61B4">
        <w:rPr>
          <w:lang w:val="en-US"/>
        </w:rPr>
        <w:fldChar w:fldCharType="begin"/>
      </w:r>
      <w:r w:rsidR="004B61B4">
        <w:rPr>
          <w:lang w:val="en-US"/>
        </w:rPr>
        <w:instrText xml:space="preserve"> ADDIN EN.CITE &lt;EndNote&gt;&lt;Cite&gt;&lt;Author&gt;Vickers&lt;/Author&gt;&lt;Year&gt;2008&lt;/Year&gt;&lt;RecNum&gt;117&lt;/RecNum&gt;&lt;DisplayText&gt;(Vickers et al., 2008)&lt;/DisplayText&gt;&lt;record&gt;&lt;rec-number&gt;117&lt;/rec-number&gt;&lt;foreign-keys&gt;&lt;key app="EN" db-id="rtv2prz2p0ttw3ezv01x0raovvzvd0wfxprr"&gt;117&lt;/key&gt;&lt;/foreign-keys&gt;&lt;ref-type name="Journal Article"&gt;17&lt;/ref-type&gt;&lt;contributors&gt;&lt;authors&gt;&lt;author&gt;Vickers, A. J.&lt;/author&gt;&lt;author&gt;Cronin, A. M.&lt;/author&gt;&lt;author&gt;Elkin, E. B.&lt;/author&gt;&lt;author&gt;Gonen, M.&lt;/author&gt;&lt;/authors&gt;&lt;/contributors&gt;&lt;auth-address&gt;Department of Epidemiology and Biostatistics, Memorial Sloan-Kettering Cancer Center, 307 East 63rd Street, New York, NY 10065, USA. vickersa@mskcc.org&lt;/auth-address&gt;&lt;titles&gt;&lt;title&gt;Extensions to decision curve analysis, a novel method for evaluating diagnostic tests, prediction models and molecular markers&lt;/title&gt;&lt;secondary-title&gt;BMC Med Inform Decis Mak&lt;/secondary-title&gt;&lt;/titles&gt;&lt;periodical&gt;&lt;full-title&gt;BMC Med Inform Decis Mak&lt;/full-title&gt;&lt;/periodical&gt;&lt;pages&gt;53&lt;/pages&gt;&lt;volume&gt;8&lt;/volume&gt;&lt;edition&gt;2008/11/28&lt;/edition&gt;&lt;keywords&gt;&lt;keyword&gt;Biological Markers/analysis&lt;/keyword&gt;&lt;keyword&gt;Computer Simulation&lt;/keyword&gt;&lt;keyword&gt;Confidence Intervals&lt;/keyword&gt;&lt;keyword&gt;Decision Support Systems, Clinical&lt;/keyword&gt;&lt;keyword&gt;*Decision Support Techniques&lt;/keyword&gt;&lt;keyword&gt;*Diagnostic Tests, Routine&lt;/keyword&gt;&lt;keyword&gt;Humans&lt;/keyword&gt;&lt;keyword&gt;Logistic Models&lt;/keyword&gt;&lt;keyword&gt;Male&lt;/keyword&gt;&lt;keyword&gt;Molecular Biology&lt;/keyword&gt;&lt;keyword&gt;Predictive Value of Tests&lt;/keyword&gt;&lt;keyword&gt;Probability&lt;/keyword&gt;&lt;keyword&gt;Prostatic Neoplasms/diagnosis&lt;/keyword&gt;&lt;/keywords&gt;&lt;dates&gt;&lt;year&gt;2008&lt;/year&gt;&lt;/dates&gt;&lt;isbn&gt;1472-6947 (Electronic)&amp;#xD;1472-6947 (Linking)&lt;/isbn&gt;&lt;accession-num&gt;19036144&lt;/accession-num&gt;&lt;urls&gt;&lt;related-urls&gt;&lt;url&gt;http://www.ncbi.nlm.nih.gov/pubmed/19036144&lt;/url&gt;&lt;/related-urls&gt;&lt;/urls&gt;&lt;custom2&gt;2611975&lt;/custom2&gt;&lt;electronic-resource-num&gt;1472-6947-8-53 [pii]&amp;#xD;10.1186/1472-6947-8-53&lt;/electronic-resource-num&gt;&lt;language&gt;eng&lt;/language&gt;&lt;/record&gt;&lt;/Cite&gt;&lt;/EndNote&gt;</w:instrText>
      </w:r>
      <w:r w:rsidR="004B61B4">
        <w:rPr>
          <w:lang w:val="en-US"/>
        </w:rPr>
        <w:fldChar w:fldCharType="separate"/>
      </w:r>
      <w:r w:rsidR="004B61B4">
        <w:rPr>
          <w:noProof/>
          <w:lang w:val="en-US"/>
        </w:rPr>
        <w:t>(</w:t>
      </w:r>
      <w:hyperlink w:anchor="_ENREF_41" w:tooltip="Vickers, 2008 #117" w:history="1">
        <w:r w:rsidR="00BF347F">
          <w:rPr>
            <w:noProof/>
            <w:lang w:val="en-US"/>
          </w:rPr>
          <w:t>Vickers et al., 2008</w:t>
        </w:r>
      </w:hyperlink>
      <w:r w:rsidR="004B61B4">
        <w:rPr>
          <w:noProof/>
          <w:lang w:val="en-US"/>
        </w:rPr>
        <w:t>)</w:t>
      </w:r>
      <w:r w:rsidR="004B61B4">
        <w:rPr>
          <w:lang w:val="en-US"/>
        </w:rPr>
        <w:fldChar w:fldCharType="end"/>
      </w:r>
      <w:r w:rsidR="008C612A">
        <w:rPr>
          <w:lang w:val="en-US"/>
        </w:rPr>
        <w:t>.</w:t>
      </w:r>
    </w:p>
    <w:p w:rsidR="00B85B9F" w:rsidRDefault="00B85B9F" w:rsidP="008C612A">
      <w:pPr>
        <w:spacing w:line="360" w:lineRule="auto"/>
        <w:ind w:firstLine="720"/>
        <w:rPr>
          <w:lang w:val="en-US"/>
        </w:rPr>
      </w:pPr>
      <w:r>
        <w:rPr>
          <w:lang w:val="en-US"/>
        </w:rPr>
        <w:t>In conclusion, we recommend a clear distinction in the type of research question that is addressed in relation to the incremental value of a marker</w:t>
      </w:r>
      <w:r w:rsidR="00524154">
        <w:rPr>
          <w:lang w:val="en-US"/>
        </w:rPr>
        <w:t>: better prediction or better classification</w:t>
      </w:r>
      <w:r>
        <w:rPr>
          <w:lang w:val="en-US"/>
        </w:rPr>
        <w:t xml:space="preserve">. From </w:t>
      </w:r>
      <w:r w:rsidR="008C612A">
        <w:rPr>
          <w:lang w:val="en-US"/>
        </w:rPr>
        <w:t xml:space="preserve">a </w:t>
      </w:r>
      <w:r w:rsidR="00524154">
        <w:rPr>
          <w:lang w:val="en-US"/>
        </w:rPr>
        <w:t>prediction</w:t>
      </w:r>
      <w:r>
        <w:rPr>
          <w:lang w:val="en-US"/>
        </w:rPr>
        <w:t xml:space="preserve"> perspective, continuous predictions may be considered with various graphs and summary measures. We are in favor of reclassification plots, but due to the lack of </w:t>
      </w:r>
      <w:proofErr w:type="spellStart"/>
      <w:r>
        <w:rPr>
          <w:lang w:val="en-US"/>
        </w:rPr>
        <w:t>informativeness</w:t>
      </w:r>
      <w:proofErr w:type="spellEnd"/>
      <w:r>
        <w:rPr>
          <w:lang w:val="en-US"/>
        </w:rPr>
        <w:t xml:space="preserve"> we recommend against publishing of ROC curves unless </w:t>
      </w:r>
      <w:r>
        <w:rPr>
          <w:lang w:val="en-US"/>
        </w:rPr>
        <w:lastRenderedPageBreak/>
        <w:t xml:space="preserve">clinically motivated thresholds are indicated. For summary measures, we are in favor of measures that indicate the explained variability (increase in </w:t>
      </w:r>
      <w:proofErr w:type="spellStart"/>
      <w:r>
        <w:rPr>
          <w:lang w:val="en-US"/>
        </w:rPr>
        <w:t>Nagelkerke’s</w:t>
      </w:r>
      <w:proofErr w:type="spellEnd"/>
      <w:r>
        <w:rPr>
          <w:lang w:val="en-US"/>
        </w:rPr>
        <w:t xml:space="preserve"> or Pearson’s R</w:t>
      </w:r>
      <w:r w:rsidRPr="00D947E9">
        <w:rPr>
          <w:vertAlign w:val="superscript"/>
          <w:lang w:val="en-US"/>
        </w:rPr>
        <w:t>2</w:t>
      </w:r>
      <w:r>
        <w:rPr>
          <w:lang w:val="en-US"/>
        </w:rPr>
        <w:t>, the IDI), increase in discrimination (</w:t>
      </w:r>
      <w:r w:rsidRPr="00A250CB">
        <w:rPr>
          <w:rFonts w:ascii="Lucida Grande Greek" w:hAnsi="Lucida Grande Greek" w:cs="Lucida Grande Greek"/>
          <w:b/>
          <w:color w:val="000000"/>
          <w:lang w:val="en-US"/>
        </w:rPr>
        <w:t>Δ</w:t>
      </w:r>
      <w:r>
        <w:rPr>
          <w:lang w:val="en-US"/>
        </w:rPr>
        <w:t>AUC), or effect size (continuous NRI). If we move to the evaluation of a classification, the category-based NRI may be used, with several important caveats</w:t>
      </w:r>
      <w:r w:rsidR="00907129">
        <w:rPr>
          <w:lang w:val="en-US"/>
        </w:rPr>
        <w:t xml:space="preserve"> </w:t>
      </w:r>
      <w:r w:rsidR="004B61B4">
        <w:rPr>
          <w:lang w:val="en-US"/>
        </w:rPr>
        <w:fldChar w:fldCharType="begin"/>
      </w:r>
      <w:r w:rsidR="00BF347F">
        <w:rPr>
          <w:lang w:val="en-US"/>
        </w:rPr>
        <w:instrText xml:space="preserve"> ADDIN EN.CITE &lt;EndNote&gt;&lt;Cite&gt;&lt;Author&gt;Leening&lt;/Author&gt;&lt;Year&gt;2014&lt;/Year&gt;&lt;RecNum&gt;892&lt;/RecNum&gt;&lt;DisplayText&gt;(Leening et al., 2014b)&lt;/DisplayText&gt;&lt;record&gt;&lt;rec-number&gt;892&lt;/rec-number&gt;&lt;foreign-keys&gt;&lt;key app="EN" db-id="s5at2da0rxdws8ew29spaefwt99szxvvfawz"&gt;892&lt;/key&gt;&lt;/foreign-keys&gt;&lt;ref-type name="Journal Article"&gt;17&lt;/ref-type&gt;&lt;contributors&gt;&lt;authors&gt;&lt;author&gt;Leening, M. J.&lt;/author&gt;&lt;author&gt;Vedder, M. M.&lt;/author&gt;&lt;author&gt;Witteman, J. C.&lt;/author&gt;&lt;author&gt;Pencina, M. J.&lt;/author&gt;&lt;author&gt;Steyerberg, E. W.&lt;/author&gt;&lt;/authors&gt;&lt;/contributors&gt;&lt;titles&gt;&lt;title&gt;Net reclassification improvement: computation, interpretation, and controversies: a literature review and clinician&amp;apos;s guide&lt;/title&gt;&lt;secondary-title&gt;Ann Intern Med&lt;/secondary-title&gt;&lt;alt-title&gt;Annals of internal medicine&lt;/alt-title&gt;&lt;/titles&gt;&lt;periodical&gt;&lt;full-title&gt;Ann Intern Med&lt;/full-title&gt;&lt;/periodical&gt;&lt;alt-periodical&gt;&lt;full-title&gt;NTvG&lt;/full-title&gt;&lt;abbr-1&gt;Annals of internal medicine&lt;/abbr-1&gt;&lt;/alt-periodical&gt;&lt;pages&gt;122-31&lt;/pages&gt;&lt;volume&gt;160&lt;/volume&gt;&lt;number&gt;2&lt;/number&gt;&lt;keywords&gt;&lt;keyword&gt;Data Interpretation, Statistical&lt;/keyword&gt;&lt;keyword&gt;Decision Support Techniques&lt;/keyword&gt;&lt;keyword&gt;Humans&lt;/keyword&gt;&lt;keyword&gt;*Models, Statistical&lt;/keyword&gt;&lt;keyword&gt;Risk Assessment/*classification/methods&lt;/keyword&gt;&lt;/keywords&gt;&lt;dates&gt;&lt;year&gt;2014&lt;/year&gt;&lt;pub-dates&gt;&lt;date&gt;Jan 21&lt;/date&gt;&lt;/pub-dates&gt;&lt;/dates&gt;&lt;isbn&gt;1539-3704 (Electronic)&amp;#xD;0003-4819 (Linking)&lt;/isbn&gt;&lt;accession-num&gt;24592497&lt;/accession-num&gt;&lt;urls&gt;&lt;related-urls&gt;&lt;url&gt;http://www.ncbi.nlm.nih.gov/pubmed/24592497&lt;/url&gt;&lt;/related-urls&gt;&lt;/urls&gt;&lt;/record&gt;&lt;/Cite&gt;&lt;/EndNote&gt;</w:instrText>
      </w:r>
      <w:r w:rsidR="004B61B4">
        <w:rPr>
          <w:lang w:val="en-US"/>
        </w:rPr>
        <w:fldChar w:fldCharType="separate"/>
      </w:r>
      <w:r w:rsidR="00BF347F">
        <w:rPr>
          <w:noProof/>
          <w:lang w:val="en-US"/>
        </w:rPr>
        <w:t>(</w:t>
      </w:r>
      <w:hyperlink w:anchor="_ENREF_17" w:tooltip="Leening, 2014 #892" w:history="1">
        <w:r w:rsidR="00BF347F">
          <w:rPr>
            <w:noProof/>
            <w:lang w:val="en-US"/>
          </w:rPr>
          <w:t>Leening et al., 2014b</w:t>
        </w:r>
      </w:hyperlink>
      <w:r w:rsidR="00BF347F">
        <w:rPr>
          <w:noProof/>
          <w:lang w:val="en-US"/>
        </w:rPr>
        <w:t>)</w:t>
      </w:r>
      <w:r w:rsidR="004B61B4">
        <w:rPr>
          <w:lang w:val="en-US"/>
        </w:rPr>
        <w:fldChar w:fldCharType="end"/>
      </w:r>
      <w:r w:rsidR="008C612A">
        <w:rPr>
          <w:lang w:val="en-US"/>
        </w:rPr>
        <w:t xml:space="preserve">. </w:t>
      </w:r>
      <w:r>
        <w:rPr>
          <w:lang w:val="en-US"/>
        </w:rPr>
        <w:t xml:space="preserve">The </w:t>
      </w:r>
      <w:r w:rsidRPr="00A250CB">
        <w:rPr>
          <w:lang w:val="en-US"/>
        </w:rPr>
        <w:t xml:space="preserve">Net </w:t>
      </w:r>
      <w:r>
        <w:rPr>
          <w:lang w:val="en-US"/>
        </w:rPr>
        <w:t>R</w:t>
      </w:r>
      <w:r w:rsidRPr="00A250CB">
        <w:rPr>
          <w:lang w:val="en-US"/>
        </w:rPr>
        <w:t xml:space="preserve">eclassification </w:t>
      </w:r>
      <w:r>
        <w:rPr>
          <w:lang w:val="en-US"/>
        </w:rPr>
        <w:t>R</w:t>
      </w:r>
      <w:r w:rsidRPr="00A250CB">
        <w:rPr>
          <w:lang w:val="en-US"/>
        </w:rPr>
        <w:t>isk graph</w:t>
      </w:r>
      <w:r>
        <w:rPr>
          <w:lang w:val="en-US"/>
        </w:rPr>
        <w:t xml:space="preserve"> may allow for a direct visual impression in the case of binary classification. We can </w:t>
      </w:r>
      <w:r w:rsidR="00524154">
        <w:rPr>
          <w:lang w:val="en-US"/>
        </w:rPr>
        <w:t xml:space="preserve">then readily </w:t>
      </w:r>
      <w:r>
        <w:rPr>
          <w:lang w:val="en-US"/>
        </w:rPr>
        <w:t xml:space="preserve">judge two important aspects of improved classification: what proportion of subjects are reclassified, and what is the difference in observed event rates between reclassified groups. </w:t>
      </w:r>
      <w:r w:rsidR="00524154">
        <w:rPr>
          <w:lang w:val="en-US"/>
        </w:rPr>
        <w:t xml:space="preserve">When classification leads to decisions, decision-analytic summary measures such as </w:t>
      </w:r>
      <w:r w:rsidR="00524154" w:rsidRPr="00A250CB">
        <w:rPr>
          <w:rFonts w:ascii="Lucida Grande Greek" w:hAnsi="Lucida Grande Greek" w:cs="Lucida Grande Greek"/>
          <w:b/>
          <w:color w:val="000000"/>
          <w:lang w:val="en-US"/>
        </w:rPr>
        <w:t>Δ</w:t>
      </w:r>
      <w:r w:rsidR="00524154">
        <w:rPr>
          <w:lang w:val="en-US"/>
        </w:rPr>
        <w:t xml:space="preserve">NB, </w:t>
      </w:r>
      <w:r w:rsidR="00524154" w:rsidRPr="00A250CB">
        <w:rPr>
          <w:rFonts w:ascii="Lucida Grande Greek" w:hAnsi="Lucida Grande Greek" w:cs="Lucida Grande Greek"/>
          <w:b/>
          <w:color w:val="000000"/>
          <w:lang w:val="en-US"/>
        </w:rPr>
        <w:t>Δ</w:t>
      </w:r>
      <w:r w:rsidR="00524154">
        <w:rPr>
          <w:lang w:val="en-US"/>
        </w:rPr>
        <w:t xml:space="preserve">RU and </w:t>
      </w:r>
      <w:proofErr w:type="spellStart"/>
      <w:r w:rsidR="00524154">
        <w:rPr>
          <w:lang w:val="en-US"/>
        </w:rPr>
        <w:t>wNRI</w:t>
      </w:r>
      <w:proofErr w:type="spellEnd"/>
      <w:r w:rsidR="00524154">
        <w:rPr>
          <w:lang w:val="en-US"/>
        </w:rPr>
        <w:t xml:space="preserve"> are adequate.</w:t>
      </w:r>
    </w:p>
    <w:p w:rsidR="00B85B9F" w:rsidRDefault="00B85B9F">
      <w:pPr>
        <w:rPr>
          <w:lang w:val="en-US"/>
        </w:rPr>
      </w:pPr>
    </w:p>
    <w:p w:rsidR="00B85B9F" w:rsidRDefault="00B85B9F">
      <w:pPr>
        <w:rPr>
          <w:lang w:val="en-US"/>
        </w:rPr>
      </w:pPr>
    </w:p>
    <w:p w:rsidR="00B85B9F" w:rsidRPr="00A250CB" w:rsidRDefault="00B85B9F">
      <w:pPr>
        <w:rPr>
          <w:lang w:val="en-US"/>
        </w:rPr>
        <w:sectPr w:rsidR="00B85B9F" w:rsidRPr="00A250CB" w:rsidSect="000D526B">
          <w:footerReference w:type="default" r:id="rId9"/>
          <w:pgSz w:w="11900" w:h="16840"/>
          <w:pgMar w:top="1440" w:right="1800" w:bottom="1440" w:left="1800" w:header="708" w:footer="708" w:gutter="0"/>
          <w:cols w:space="708"/>
          <w:docGrid w:linePitch="360"/>
        </w:sectPr>
      </w:pPr>
    </w:p>
    <w:p w:rsidR="00B85B9F" w:rsidRDefault="00B85B9F">
      <w:pPr>
        <w:rPr>
          <w:lang w:val="en-US"/>
        </w:rPr>
      </w:pPr>
      <w:r w:rsidRPr="00A250CB">
        <w:rPr>
          <w:lang w:val="en-US"/>
        </w:rPr>
        <w:lastRenderedPageBreak/>
        <w:t>Table</w:t>
      </w:r>
      <w:r>
        <w:rPr>
          <w:lang w:val="en-US"/>
        </w:rPr>
        <w:t xml:space="preserve"> 1</w:t>
      </w:r>
      <w:r w:rsidRPr="00A250CB">
        <w:rPr>
          <w:lang w:val="en-US"/>
        </w:rPr>
        <w:t xml:space="preserve">: </w:t>
      </w:r>
      <w:r>
        <w:rPr>
          <w:lang w:val="en-US"/>
        </w:rPr>
        <w:t>Overview of performance measures with display options and summary measures of performance for predicting 10-year CHD</w:t>
      </w:r>
      <w:r w:rsidRPr="00A250CB">
        <w:rPr>
          <w:lang w:val="en-US"/>
        </w:rPr>
        <w:t xml:space="preserve"> risks in 3264 </w:t>
      </w:r>
      <w:r>
        <w:rPr>
          <w:lang w:val="en-US"/>
        </w:rPr>
        <w:t>participants</w:t>
      </w:r>
      <w:r w:rsidRPr="00A250CB">
        <w:rPr>
          <w:lang w:val="en-US"/>
        </w:rPr>
        <w:t xml:space="preserve"> from the Framingham </w:t>
      </w:r>
      <w:r>
        <w:rPr>
          <w:lang w:val="en-US"/>
        </w:rPr>
        <w:t>Heart S</w:t>
      </w:r>
      <w:r w:rsidRPr="00A250CB">
        <w:rPr>
          <w:lang w:val="en-US"/>
        </w:rPr>
        <w:t>tudy</w:t>
      </w:r>
      <w:r>
        <w:rPr>
          <w:lang w:val="en-US"/>
        </w:rPr>
        <w:t>. We first consider continuous predictions, followed by dichotomized classifications</w:t>
      </w:r>
      <w:r w:rsidR="003D4B40">
        <w:rPr>
          <w:lang w:val="en-US"/>
        </w:rPr>
        <w:t xml:space="preserve">. Performance relates to the difference between </w:t>
      </w:r>
      <w:r w:rsidR="003D4B40" w:rsidRPr="003D4B40">
        <w:rPr>
          <w:lang w:val="en-US"/>
        </w:rPr>
        <w:t xml:space="preserve">a </w:t>
      </w:r>
      <w:r w:rsidR="003D4B40">
        <w:rPr>
          <w:lang w:val="en-US"/>
        </w:rPr>
        <w:t xml:space="preserve">prediction </w:t>
      </w:r>
      <w:r w:rsidR="003D4B40" w:rsidRPr="003D4B40">
        <w:rPr>
          <w:lang w:val="en-US"/>
        </w:rPr>
        <w:t>model with and without HDL</w:t>
      </w:r>
      <w:r>
        <w:rPr>
          <w:lang w:val="en-US"/>
        </w:rPr>
        <w:t>.</w:t>
      </w:r>
    </w:p>
    <w:p w:rsidR="00B85B9F" w:rsidRPr="00A250CB" w:rsidRDefault="00B85B9F">
      <w:pPr>
        <w:rPr>
          <w:lang w:val="en-US"/>
        </w:rPr>
      </w:pPr>
    </w:p>
    <w:tbl>
      <w:tblPr>
        <w:tblW w:w="14000" w:type="dxa"/>
        <w:tblBorders>
          <w:top w:val="single" w:sz="4" w:space="0" w:color="auto"/>
          <w:bottom w:val="single" w:sz="4" w:space="0" w:color="auto"/>
        </w:tblBorders>
        <w:tblLayout w:type="fixed"/>
        <w:tblLook w:val="00A0" w:firstRow="1" w:lastRow="0" w:firstColumn="1" w:lastColumn="0" w:noHBand="0" w:noVBand="0"/>
      </w:tblPr>
      <w:tblGrid>
        <w:gridCol w:w="3227"/>
        <w:gridCol w:w="2977"/>
        <w:gridCol w:w="1559"/>
        <w:gridCol w:w="6237"/>
      </w:tblGrid>
      <w:tr w:rsidR="00B85B9F" w:rsidRPr="00241F31" w:rsidTr="00B43E87">
        <w:tc>
          <w:tcPr>
            <w:tcW w:w="3227" w:type="dxa"/>
            <w:tcBorders>
              <w:top w:val="single" w:sz="4" w:space="0" w:color="auto"/>
              <w:bottom w:val="single" w:sz="4" w:space="0" w:color="auto"/>
            </w:tcBorders>
          </w:tcPr>
          <w:p w:rsidR="00B85B9F" w:rsidRPr="00241F31" w:rsidRDefault="00B85B9F" w:rsidP="000D526B">
            <w:pPr>
              <w:rPr>
                <w:lang w:val="en-US"/>
              </w:rPr>
            </w:pPr>
            <w:r w:rsidRPr="00241F31">
              <w:rPr>
                <w:lang w:val="en-US"/>
              </w:rPr>
              <w:t>Performance measure</w:t>
            </w:r>
          </w:p>
        </w:tc>
        <w:tc>
          <w:tcPr>
            <w:tcW w:w="2977" w:type="dxa"/>
            <w:tcBorders>
              <w:top w:val="single" w:sz="4" w:space="0" w:color="auto"/>
              <w:bottom w:val="single" w:sz="4" w:space="0" w:color="auto"/>
            </w:tcBorders>
          </w:tcPr>
          <w:p w:rsidR="00B85B9F" w:rsidRPr="00241F31" w:rsidRDefault="00B85B9F">
            <w:pPr>
              <w:rPr>
                <w:lang w:val="en-US"/>
              </w:rPr>
            </w:pPr>
            <w:r w:rsidRPr="00241F31">
              <w:rPr>
                <w:lang w:val="en-US"/>
              </w:rPr>
              <w:t>Display option</w:t>
            </w:r>
          </w:p>
        </w:tc>
        <w:tc>
          <w:tcPr>
            <w:tcW w:w="1559" w:type="dxa"/>
            <w:tcBorders>
              <w:top w:val="single" w:sz="4" w:space="0" w:color="auto"/>
              <w:bottom w:val="single" w:sz="4" w:space="0" w:color="auto"/>
            </w:tcBorders>
          </w:tcPr>
          <w:p w:rsidR="00B85B9F" w:rsidRPr="00241F31" w:rsidRDefault="00B85B9F">
            <w:pPr>
              <w:rPr>
                <w:lang w:val="en-US"/>
              </w:rPr>
            </w:pPr>
            <w:r w:rsidRPr="00241F31">
              <w:rPr>
                <w:lang w:val="en-US"/>
              </w:rPr>
              <w:t>Performance</w:t>
            </w:r>
          </w:p>
        </w:tc>
        <w:tc>
          <w:tcPr>
            <w:tcW w:w="6237" w:type="dxa"/>
            <w:tcBorders>
              <w:top w:val="single" w:sz="4" w:space="0" w:color="auto"/>
              <w:bottom w:val="single" w:sz="4" w:space="0" w:color="auto"/>
            </w:tcBorders>
          </w:tcPr>
          <w:p w:rsidR="00B85B9F" w:rsidRPr="00241F31" w:rsidRDefault="00B85B9F">
            <w:pPr>
              <w:rPr>
                <w:lang w:val="en-US"/>
              </w:rPr>
            </w:pPr>
            <w:r w:rsidRPr="00241F31">
              <w:rPr>
                <w:lang w:val="en-US"/>
              </w:rPr>
              <w:t>Comments</w:t>
            </w:r>
          </w:p>
        </w:tc>
      </w:tr>
      <w:tr w:rsidR="00B85B9F" w:rsidRPr="00241F31" w:rsidTr="00F21F6B">
        <w:tc>
          <w:tcPr>
            <w:tcW w:w="3227" w:type="dxa"/>
            <w:tcBorders>
              <w:top w:val="single" w:sz="4" w:space="0" w:color="auto"/>
              <w:bottom w:val="nil"/>
            </w:tcBorders>
          </w:tcPr>
          <w:p w:rsidR="00B85B9F" w:rsidRPr="00B43E87" w:rsidRDefault="00B85B9F">
            <w:pPr>
              <w:rPr>
                <w:i/>
                <w:lang w:val="en-US"/>
              </w:rPr>
            </w:pPr>
            <w:r w:rsidRPr="00241F31">
              <w:rPr>
                <w:lang w:val="en-US"/>
              </w:rPr>
              <w:t xml:space="preserve">   </w:t>
            </w:r>
            <w:r w:rsidRPr="00B43E87">
              <w:rPr>
                <w:i/>
                <w:lang w:val="en-US"/>
              </w:rPr>
              <w:t>Continuous predictions</w:t>
            </w:r>
          </w:p>
        </w:tc>
        <w:tc>
          <w:tcPr>
            <w:tcW w:w="2977" w:type="dxa"/>
            <w:tcBorders>
              <w:top w:val="single" w:sz="4" w:space="0" w:color="auto"/>
              <w:bottom w:val="nil"/>
            </w:tcBorders>
          </w:tcPr>
          <w:p w:rsidR="00B85B9F" w:rsidRPr="00241F31" w:rsidRDefault="00B85B9F">
            <w:pPr>
              <w:rPr>
                <w:lang w:val="en-US"/>
              </w:rPr>
            </w:pPr>
          </w:p>
        </w:tc>
        <w:tc>
          <w:tcPr>
            <w:tcW w:w="1559" w:type="dxa"/>
            <w:tcBorders>
              <w:top w:val="single" w:sz="4" w:space="0" w:color="auto"/>
              <w:bottom w:val="nil"/>
            </w:tcBorders>
          </w:tcPr>
          <w:p w:rsidR="00B85B9F" w:rsidRPr="00241F31" w:rsidRDefault="00B85B9F">
            <w:pPr>
              <w:rPr>
                <w:lang w:val="en-US"/>
              </w:rPr>
            </w:pPr>
          </w:p>
        </w:tc>
        <w:tc>
          <w:tcPr>
            <w:tcW w:w="6237" w:type="dxa"/>
            <w:tcBorders>
              <w:top w:val="single" w:sz="4" w:space="0" w:color="auto"/>
              <w:bottom w:val="nil"/>
            </w:tcBorders>
          </w:tcPr>
          <w:p w:rsidR="00B85B9F" w:rsidRPr="00241F31" w:rsidRDefault="00B85B9F" w:rsidP="00B239A7">
            <w:pPr>
              <w:rPr>
                <w:lang w:val="en-US"/>
              </w:rPr>
            </w:pPr>
          </w:p>
        </w:tc>
      </w:tr>
      <w:tr w:rsidR="00B85B9F" w:rsidRPr="00AF4A4E" w:rsidTr="00F21F6B">
        <w:tc>
          <w:tcPr>
            <w:tcW w:w="3227" w:type="dxa"/>
            <w:tcBorders>
              <w:top w:val="nil"/>
              <w:bottom w:val="dashed" w:sz="4" w:space="0" w:color="auto"/>
            </w:tcBorders>
          </w:tcPr>
          <w:p w:rsidR="00B85B9F" w:rsidRPr="00241F31" w:rsidRDefault="00B85B9F">
            <w:r w:rsidRPr="00241F31">
              <w:rPr>
                <w:rFonts w:ascii="Lucida Grande Greek" w:hAnsi="Lucida Grande Greek" w:cs="Lucida Grande Greek"/>
                <w:b/>
                <w:color w:val="000000"/>
                <w:lang w:val="en-US"/>
              </w:rPr>
              <w:t>Δ</w:t>
            </w:r>
            <w:r w:rsidRPr="00241F31">
              <w:t xml:space="preserve"> log-</w:t>
            </w:r>
            <w:proofErr w:type="spellStart"/>
            <w:r w:rsidRPr="00241F31">
              <w:t>likelihood</w:t>
            </w:r>
            <w:proofErr w:type="spellEnd"/>
          </w:p>
          <w:p w:rsidR="00B85B9F" w:rsidRPr="00241F31" w:rsidRDefault="00B85B9F">
            <w:r w:rsidRPr="00241F31">
              <w:rPr>
                <w:rFonts w:ascii="Lucida Grande Greek" w:hAnsi="Lucida Grande Greek" w:cs="Lucida Grande Greek"/>
                <w:b/>
                <w:color w:val="000000"/>
                <w:lang w:val="en-US"/>
              </w:rPr>
              <w:t>Δ</w:t>
            </w:r>
            <w:r w:rsidRPr="00241F31">
              <w:t>Nagelkerke R</w:t>
            </w:r>
            <w:r w:rsidRPr="00241F31">
              <w:rPr>
                <w:vertAlign w:val="superscript"/>
              </w:rPr>
              <w:t>2</w:t>
            </w:r>
          </w:p>
          <w:p w:rsidR="00B85B9F" w:rsidRPr="00241F31" w:rsidRDefault="00B85B9F">
            <w:r w:rsidRPr="00241F31">
              <w:rPr>
                <w:rFonts w:ascii="Lucida Grande Greek" w:hAnsi="Lucida Grande Greek" w:cs="Lucida Grande Greek"/>
                <w:b/>
                <w:color w:val="000000"/>
                <w:lang w:val="en-US"/>
              </w:rPr>
              <w:t>Δ</w:t>
            </w:r>
            <w:r w:rsidRPr="00241F31">
              <w:t>lp events</w:t>
            </w:r>
          </w:p>
          <w:p w:rsidR="00B85B9F" w:rsidRPr="00241F31" w:rsidRDefault="00B85B9F">
            <w:pPr>
              <w:rPr>
                <w:lang w:val="en-US"/>
              </w:rPr>
            </w:pPr>
            <w:proofErr w:type="spellStart"/>
            <w:r w:rsidRPr="00241F31">
              <w:rPr>
                <w:rFonts w:ascii="Lucida Grande Greek" w:hAnsi="Lucida Grande Greek" w:cs="Lucida Grande Greek"/>
                <w:b/>
                <w:color w:val="000000"/>
                <w:lang w:val="en-US"/>
              </w:rPr>
              <w:t>Δ</w:t>
            </w:r>
            <w:r w:rsidRPr="00241F31">
              <w:rPr>
                <w:lang w:val="en-US"/>
              </w:rPr>
              <w:t>lp</w:t>
            </w:r>
            <w:proofErr w:type="spellEnd"/>
            <w:r w:rsidRPr="00241F31">
              <w:rPr>
                <w:lang w:val="en-US"/>
              </w:rPr>
              <w:t xml:space="preserve"> non-events</w:t>
            </w:r>
          </w:p>
        </w:tc>
        <w:tc>
          <w:tcPr>
            <w:tcW w:w="2977" w:type="dxa"/>
            <w:tcBorders>
              <w:top w:val="nil"/>
              <w:bottom w:val="dashed" w:sz="4" w:space="0" w:color="auto"/>
            </w:tcBorders>
          </w:tcPr>
          <w:p w:rsidR="00B85B9F" w:rsidRPr="00241F31" w:rsidRDefault="00B85B9F">
            <w:pPr>
              <w:rPr>
                <w:lang w:val="en-US"/>
              </w:rPr>
            </w:pPr>
            <w:r w:rsidRPr="00241F31">
              <w:rPr>
                <w:lang w:val="en-US"/>
              </w:rPr>
              <w:t>Fig 1: density plot</w:t>
            </w:r>
          </w:p>
        </w:tc>
        <w:tc>
          <w:tcPr>
            <w:tcW w:w="1559" w:type="dxa"/>
            <w:tcBorders>
              <w:top w:val="nil"/>
              <w:bottom w:val="dashed" w:sz="4" w:space="0" w:color="auto"/>
            </w:tcBorders>
          </w:tcPr>
          <w:p w:rsidR="00B85B9F" w:rsidRPr="00241F31" w:rsidRDefault="00B85B9F">
            <w:pPr>
              <w:rPr>
                <w:lang w:val="en-US"/>
              </w:rPr>
            </w:pPr>
            <w:r w:rsidRPr="00241F31">
              <w:rPr>
                <w:lang w:val="en-US"/>
              </w:rPr>
              <w:t>+19</w:t>
            </w:r>
          </w:p>
          <w:p w:rsidR="00B85B9F" w:rsidRPr="00241F31" w:rsidRDefault="00B85B9F">
            <w:pPr>
              <w:rPr>
                <w:lang w:val="en-US"/>
              </w:rPr>
            </w:pPr>
            <w:r w:rsidRPr="00241F31">
              <w:rPr>
                <w:lang w:val="en-US"/>
              </w:rPr>
              <w:t>+1.6%</w:t>
            </w:r>
          </w:p>
          <w:p w:rsidR="00B85B9F" w:rsidRPr="00241F31" w:rsidRDefault="00B85B9F">
            <w:pPr>
              <w:rPr>
                <w:lang w:val="en-US"/>
              </w:rPr>
            </w:pPr>
            <w:r w:rsidRPr="00241F31">
              <w:rPr>
                <w:lang w:val="en-US"/>
              </w:rPr>
              <w:t>+0.058</w:t>
            </w:r>
          </w:p>
          <w:p w:rsidR="00B85B9F" w:rsidRPr="00241F31" w:rsidRDefault="00B85B9F">
            <w:pPr>
              <w:rPr>
                <w:lang w:val="en-US"/>
              </w:rPr>
            </w:pPr>
            <w:r w:rsidRPr="00241F31">
              <w:rPr>
                <w:lang w:val="en-US"/>
              </w:rPr>
              <w:t>- 0.084</w:t>
            </w:r>
          </w:p>
        </w:tc>
        <w:tc>
          <w:tcPr>
            <w:tcW w:w="6237" w:type="dxa"/>
            <w:tcBorders>
              <w:top w:val="nil"/>
              <w:bottom w:val="dashed" w:sz="4" w:space="0" w:color="auto"/>
            </w:tcBorders>
          </w:tcPr>
          <w:p w:rsidR="00B85B9F" w:rsidRPr="00241F31" w:rsidRDefault="00B85B9F" w:rsidP="00B239A7">
            <w:pPr>
              <w:rPr>
                <w:lang w:val="en-US"/>
              </w:rPr>
            </w:pPr>
            <w:r w:rsidRPr="00241F31">
              <w:rPr>
                <w:lang w:val="en-US"/>
              </w:rPr>
              <w:t>We note a statistically significant improvement in model fit; 1.6%  more variability is explained at the log-likelihood scale</w:t>
            </w:r>
          </w:p>
          <w:p w:rsidR="00B85B9F" w:rsidRPr="00241F31" w:rsidRDefault="00B85B9F">
            <w:pPr>
              <w:rPr>
                <w:lang w:val="en-US"/>
              </w:rPr>
            </w:pPr>
          </w:p>
        </w:tc>
      </w:tr>
      <w:tr w:rsidR="00B85B9F" w:rsidRPr="00AF4A4E" w:rsidTr="00977694">
        <w:tc>
          <w:tcPr>
            <w:tcW w:w="3227" w:type="dxa"/>
            <w:tcBorders>
              <w:top w:val="dashed" w:sz="4" w:space="0" w:color="auto"/>
              <w:bottom w:val="dashed" w:sz="4" w:space="0" w:color="auto"/>
            </w:tcBorders>
          </w:tcPr>
          <w:p w:rsidR="00B85B9F" w:rsidRPr="00241F31" w:rsidRDefault="00B85B9F" w:rsidP="00B239A7">
            <w:pPr>
              <w:rPr>
                <w:lang w:val="en-US"/>
              </w:rPr>
            </w:pPr>
            <w:proofErr w:type="spellStart"/>
            <w:r w:rsidRPr="00241F31">
              <w:rPr>
                <w:rFonts w:ascii="Lucida Grande Greek" w:hAnsi="Lucida Grande Greek" w:cs="Lucida Grande Greek"/>
                <w:b/>
                <w:color w:val="000000"/>
                <w:lang w:val="en-US"/>
              </w:rPr>
              <w:t>Δ</w:t>
            </w:r>
            <w:r w:rsidRPr="00241F31">
              <w:rPr>
                <w:lang w:val="en-US"/>
              </w:rPr>
              <w:t>predicted</w:t>
            </w:r>
            <w:proofErr w:type="spellEnd"/>
            <w:r w:rsidRPr="00241F31">
              <w:rPr>
                <w:lang w:val="en-US"/>
              </w:rPr>
              <w:t xml:space="preserve"> risk events</w:t>
            </w:r>
          </w:p>
          <w:p w:rsidR="00B85B9F" w:rsidRPr="00241F31" w:rsidRDefault="00B85B9F" w:rsidP="00B239A7">
            <w:pPr>
              <w:rPr>
                <w:lang w:val="en-US"/>
              </w:rPr>
            </w:pPr>
            <w:proofErr w:type="spellStart"/>
            <w:r w:rsidRPr="00241F31">
              <w:rPr>
                <w:rFonts w:ascii="Lucida Grande Greek" w:hAnsi="Lucida Grande Greek" w:cs="Lucida Grande Greek"/>
                <w:b/>
                <w:color w:val="000000"/>
                <w:lang w:val="en-US"/>
              </w:rPr>
              <w:t>Δ</w:t>
            </w:r>
            <w:r w:rsidRPr="00241F31">
              <w:rPr>
                <w:lang w:val="en-US"/>
              </w:rPr>
              <w:t>predicted</w:t>
            </w:r>
            <w:proofErr w:type="spellEnd"/>
            <w:r w:rsidRPr="00241F31">
              <w:rPr>
                <w:lang w:val="en-US"/>
              </w:rPr>
              <w:t xml:space="preserve"> risk non-events</w:t>
            </w:r>
          </w:p>
          <w:p w:rsidR="00B85B9F" w:rsidRPr="00241F31" w:rsidRDefault="00B85B9F" w:rsidP="00B239A7">
            <w:pPr>
              <w:rPr>
                <w:lang w:val="en-US"/>
              </w:rPr>
            </w:pPr>
            <w:proofErr w:type="spellStart"/>
            <w:r w:rsidRPr="00241F31">
              <w:rPr>
                <w:rFonts w:ascii="Lucida Grande Greek" w:hAnsi="Lucida Grande Greek" w:cs="Lucida Grande Greek"/>
                <w:b/>
                <w:color w:val="000000"/>
                <w:lang w:val="en-US"/>
              </w:rPr>
              <w:t>Δ</w:t>
            </w:r>
            <w:r w:rsidRPr="00241F31">
              <w:rPr>
                <w:lang w:val="en-US"/>
              </w:rPr>
              <w:t>discrimination</w:t>
            </w:r>
            <w:proofErr w:type="spellEnd"/>
            <w:r w:rsidRPr="00241F31">
              <w:rPr>
                <w:lang w:val="en-US"/>
              </w:rPr>
              <w:t xml:space="preserve"> slope (= IDI)</w:t>
            </w:r>
          </w:p>
          <w:p w:rsidR="00B85B9F" w:rsidRPr="00241F31" w:rsidRDefault="00B85B9F" w:rsidP="00B239A7">
            <w:pPr>
              <w:rPr>
                <w:lang w:val="en-US"/>
              </w:rPr>
            </w:pPr>
            <w:proofErr w:type="spellStart"/>
            <w:r w:rsidRPr="00241F31">
              <w:rPr>
                <w:rFonts w:ascii="Lucida Grande Greek" w:hAnsi="Lucida Grande Greek" w:cs="Lucida Grande Greek"/>
                <w:b/>
                <w:color w:val="000000"/>
                <w:lang w:val="en-US"/>
              </w:rPr>
              <w:t>Δ</w:t>
            </w:r>
            <w:r w:rsidRPr="00241F31">
              <w:rPr>
                <w:lang w:val="en-US"/>
              </w:rPr>
              <w:t>Pearson</w:t>
            </w:r>
            <w:proofErr w:type="spellEnd"/>
            <w:r w:rsidRPr="00241F31">
              <w:rPr>
                <w:lang w:val="en-US"/>
              </w:rPr>
              <w:t xml:space="preserve"> R</w:t>
            </w:r>
            <w:r w:rsidRPr="00241F31">
              <w:rPr>
                <w:vertAlign w:val="superscript"/>
                <w:lang w:val="en-US"/>
              </w:rPr>
              <w:t>2</w:t>
            </w:r>
          </w:p>
        </w:tc>
        <w:tc>
          <w:tcPr>
            <w:tcW w:w="2977" w:type="dxa"/>
            <w:tcBorders>
              <w:top w:val="dashed" w:sz="4" w:space="0" w:color="auto"/>
              <w:bottom w:val="dashed" w:sz="4" w:space="0" w:color="auto"/>
            </w:tcBorders>
          </w:tcPr>
          <w:p w:rsidR="00B85B9F" w:rsidRDefault="00B85B9F" w:rsidP="005D2C37">
            <w:pPr>
              <w:rPr>
                <w:lang w:val="en-US"/>
              </w:rPr>
            </w:pPr>
            <w:r w:rsidRPr="00241F31">
              <w:rPr>
                <w:lang w:val="en-US"/>
              </w:rPr>
              <w:t>Fig 2: Box plot</w:t>
            </w:r>
          </w:p>
          <w:p w:rsidR="00B31B05" w:rsidRDefault="00B31B05" w:rsidP="005D2C37">
            <w:pPr>
              <w:rPr>
                <w:lang w:val="en-US"/>
              </w:rPr>
            </w:pPr>
          </w:p>
          <w:p w:rsidR="00FB268E" w:rsidRPr="00241F31" w:rsidRDefault="00FB268E" w:rsidP="005D2C37">
            <w:pPr>
              <w:rPr>
                <w:lang w:val="en-US"/>
              </w:rPr>
            </w:pPr>
            <w:r>
              <w:rPr>
                <w:lang w:val="en-US"/>
              </w:rPr>
              <w:t xml:space="preserve">Fig 3: </w:t>
            </w:r>
            <w:proofErr w:type="spellStart"/>
            <w:r>
              <w:rPr>
                <w:lang w:val="en-US"/>
              </w:rPr>
              <w:t>Predictiveness</w:t>
            </w:r>
            <w:proofErr w:type="spellEnd"/>
            <w:r>
              <w:rPr>
                <w:lang w:val="en-US"/>
              </w:rPr>
              <w:t xml:space="preserve"> curves</w:t>
            </w:r>
          </w:p>
        </w:tc>
        <w:tc>
          <w:tcPr>
            <w:tcW w:w="1559" w:type="dxa"/>
            <w:tcBorders>
              <w:top w:val="dashed" w:sz="4" w:space="0" w:color="auto"/>
              <w:bottom w:val="dashed" w:sz="4" w:space="0" w:color="auto"/>
            </w:tcBorders>
          </w:tcPr>
          <w:p w:rsidR="00B85B9F" w:rsidRPr="00241F31" w:rsidRDefault="00B85B9F" w:rsidP="00B239A7">
            <w:pPr>
              <w:rPr>
                <w:lang w:val="en-US"/>
              </w:rPr>
            </w:pPr>
            <w:r w:rsidRPr="00241F31">
              <w:rPr>
                <w:lang w:val="en-US"/>
              </w:rPr>
              <w:t>+0.81%</w:t>
            </w:r>
          </w:p>
          <w:p w:rsidR="00B85B9F" w:rsidRPr="00241F31" w:rsidRDefault="00B85B9F" w:rsidP="00B239A7">
            <w:pPr>
              <w:rPr>
                <w:lang w:val="en-US"/>
              </w:rPr>
            </w:pPr>
            <w:r w:rsidRPr="00241F31">
              <w:rPr>
                <w:lang w:val="en-US"/>
              </w:rPr>
              <w:t>–0.04%</w:t>
            </w:r>
          </w:p>
          <w:p w:rsidR="00B85B9F" w:rsidRPr="00241F31" w:rsidRDefault="00B85B9F" w:rsidP="00B239A7">
            <w:pPr>
              <w:rPr>
                <w:lang w:val="en-US"/>
              </w:rPr>
            </w:pPr>
            <w:r w:rsidRPr="00241F31">
              <w:rPr>
                <w:lang w:val="en-US"/>
              </w:rPr>
              <w:t>+0.85%</w:t>
            </w:r>
          </w:p>
          <w:p w:rsidR="00B85B9F" w:rsidRPr="00241F31" w:rsidRDefault="00B85B9F" w:rsidP="00B239A7">
            <w:pPr>
              <w:rPr>
                <w:lang w:val="en-US"/>
              </w:rPr>
            </w:pPr>
            <w:r w:rsidRPr="00241F31">
              <w:rPr>
                <w:lang w:val="en-US"/>
              </w:rPr>
              <w:t>+1.9%</w:t>
            </w:r>
          </w:p>
        </w:tc>
        <w:tc>
          <w:tcPr>
            <w:tcW w:w="6237" w:type="dxa"/>
            <w:tcBorders>
              <w:top w:val="dashed" w:sz="4" w:space="0" w:color="auto"/>
              <w:bottom w:val="dashed" w:sz="4" w:space="0" w:color="auto"/>
            </w:tcBorders>
          </w:tcPr>
          <w:p w:rsidR="00B85B9F" w:rsidRPr="00241F31" w:rsidRDefault="00B85B9F" w:rsidP="00B239A7">
            <w:pPr>
              <w:rPr>
                <w:lang w:val="en-US"/>
              </w:rPr>
            </w:pPr>
            <w:r w:rsidRPr="00241F31">
              <w:rPr>
                <w:lang w:val="en-US"/>
              </w:rPr>
              <w:t xml:space="preserve">Those with events receive higher predicted risks and may hence better be identified; 1.9% more variability is explained at a squared distance scale for y vs </w:t>
            </w:r>
            <w:r w:rsidRPr="00241F31">
              <w:rPr>
                <w:rFonts w:ascii="Arial" w:hAnsi="Arial" w:cs="Arial"/>
                <w:b/>
                <w:color w:val="000000"/>
                <w:lang w:val="en-US"/>
              </w:rPr>
              <w:t>ŷ</w:t>
            </w:r>
            <w:r w:rsidRPr="00241F31">
              <w:rPr>
                <w:lang w:val="en-US"/>
              </w:rPr>
              <w:t>.</w:t>
            </w:r>
          </w:p>
        </w:tc>
      </w:tr>
      <w:tr w:rsidR="00B85B9F" w:rsidRPr="00AF4A4E" w:rsidTr="00977694">
        <w:tc>
          <w:tcPr>
            <w:tcW w:w="3227" w:type="dxa"/>
            <w:tcBorders>
              <w:top w:val="dashed" w:sz="4" w:space="0" w:color="auto"/>
              <w:bottom w:val="dashed" w:sz="4" w:space="0" w:color="auto"/>
            </w:tcBorders>
          </w:tcPr>
          <w:p w:rsidR="00B85B9F" w:rsidRPr="00241F31" w:rsidRDefault="00B85B9F">
            <w:pPr>
              <w:rPr>
                <w:lang w:val="en-US"/>
              </w:rPr>
            </w:pPr>
            <w:r w:rsidRPr="00241F31">
              <w:rPr>
                <w:rFonts w:ascii="Lucida Grande Greek" w:hAnsi="Lucida Grande Greek" w:cs="Lucida Grande Greek"/>
                <w:b/>
                <w:color w:val="000000"/>
                <w:lang w:val="en-US"/>
              </w:rPr>
              <w:t>Δ</w:t>
            </w:r>
            <w:r w:rsidRPr="00241F31">
              <w:rPr>
                <w:lang w:val="en-US"/>
              </w:rPr>
              <w:t>AUC</w:t>
            </w:r>
          </w:p>
        </w:tc>
        <w:tc>
          <w:tcPr>
            <w:tcW w:w="2977" w:type="dxa"/>
            <w:tcBorders>
              <w:top w:val="dashed" w:sz="4" w:space="0" w:color="auto"/>
              <w:bottom w:val="dashed" w:sz="4" w:space="0" w:color="auto"/>
            </w:tcBorders>
          </w:tcPr>
          <w:p w:rsidR="00B85B9F" w:rsidRPr="00241F31" w:rsidRDefault="00B85B9F">
            <w:pPr>
              <w:rPr>
                <w:lang w:val="en-US"/>
              </w:rPr>
            </w:pPr>
            <w:r w:rsidRPr="00241F31">
              <w:rPr>
                <w:lang w:val="en-US"/>
              </w:rPr>
              <w:t xml:space="preserve">Fig </w:t>
            </w:r>
            <w:r w:rsidR="00FB268E">
              <w:rPr>
                <w:lang w:val="en-US"/>
              </w:rPr>
              <w:t>4</w:t>
            </w:r>
            <w:r w:rsidRPr="00241F31">
              <w:rPr>
                <w:lang w:val="en-US"/>
              </w:rPr>
              <w:t>: ROC curve</w:t>
            </w:r>
          </w:p>
        </w:tc>
        <w:tc>
          <w:tcPr>
            <w:tcW w:w="1559" w:type="dxa"/>
            <w:tcBorders>
              <w:top w:val="dashed" w:sz="4" w:space="0" w:color="auto"/>
              <w:bottom w:val="dashed" w:sz="4" w:space="0" w:color="auto"/>
            </w:tcBorders>
          </w:tcPr>
          <w:p w:rsidR="00B85B9F" w:rsidRPr="00241F31" w:rsidRDefault="00B85B9F">
            <w:pPr>
              <w:rPr>
                <w:lang w:val="en-US"/>
              </w:rPr>
            </w:pPr>
            <w:r w:rsidRPr="00241F31">
              <w:rPr>
                <w:lang w:val="en-US"/>
              </w:rPr>
              <w:t>0.012</w:t>
            </w:r>
          </w:p>
        </w:tc>
        <w:tc>
          <w:tcPr>
            <w:tcW w:w="6237" w:type="dxa"/>
            <w:tcBorders>
              <w:top w:val="dashed" w:sz="4" w:space="0" w:color="auto"/>
              <w:bottom w:val="dashed" w:sz="4" w:space="0" w:color="auto"/>
            </w:tcBorders>
          </w:tcPr>
          <w:p w:rsidR="00B85B9F" w:rsidRPr="00241F31" w:rsidRDefault="00476E79" w:rsidP="00BE31EF">
            <w:pPr>
              <w:rPr>
                <w:lang w:val="en-US"/>
              </w:rPr>
            </w:pPr>
            <w:r>
              <w:rPr>
                <w:lang w:val="en-US"/>
              </w:rPr>
              <w:t>T</w:t>
            </w:r>
            <w:r w:rsidRPr="00476E79">
              <w:rPr>
                <w:lang w:val="en-US"/>
              </w:rPr>
              <w:t xml:space="preserve">he probability of correctly identifying who will </w:t>
            </w:r>
            <w:r w:rsidR="00BE31EF">
              <w:rPr>
                <w:lang w:val="en-US"/>
              </w:rPr>
              <w:t>develop</w:t>
            </w:r>
            <w:r w:rsidRPr="00476E79">
              <w:rPr>
                <w:lang w:val="en-US"/>
              </w:rPr>
              <w:t xml:space="preserve"> a CHD event </w:t>
            </w:r>
            <w:r>
              <w:rPr>
                <w:lang w:val="en-US"/>
              </w:rPr>
              <w:t>increases by 1.2% among</w:t>
            </w:r>
            <w:r w:rsidRPr="00476E79">
              <w:rPr>
                <w:lang w:val="en-US"/>
              </w:rPr>
              <w:t xml:space="preserve"> a </w:t>
            </w:r>
            <w:r>
              <w:rPr>
                <w:lang w:val="en-US"/>
              </w:rPr>
              <w:t xml:space="preserve">random </w:t>
            </w:r>
            <w:r w:rsidRPr="00476E79">
              <w:rPr>
                <w:lang w:val="en-US"/>
              </w:rPr>
              <w:t xml:space="preserve">pair of </w:t>
            </w:r>
            <w:r>
              <w:rPr>
                <w:lang w:val="en-US"/>
              </w:rPr>
              <w:t>participants</w:t>
            </w:r>
            <w:r w:rsidR="00BE31EF">
              <w:rPr>
                <w:lang w:val="en-US"/>
              </w:rPr>
              <w:t xml:space="preserve"> where 1 has an event and 1 has no event</w:t>
            </w:r>
            <w:r>
              <w:rPr>
                <w:lang w:val="en-US"/>
              </w:rPr>
              <w:t>.</w:t>
            </w:r>
          </w:p>
        </w:tc>
      </w:tr>
      <w:tr w:rsidR="00B85B9F" w:rsidRPr="00241F31" w:rsidTr="00977694">
        <w:tc>
          <w:tcPr>
            <w:tcW w:w="3227" w:type="dxa"/>
            <w:tcBorders>
              <w:top w:val="dashed" w:sz="4" w:space="0" w:color="auto"/>
              <w:bottom w:val="dashed" w:sz="4" w:space="0" w:color="auto"/>
            </w:tcBorders>
          </w:tcPr>
          <w:p w:rsidR="00B85B9F" w:rsidRPr="00B43E87" w:rsidRDefault="00B85B9F" w:rsidP="00B239A7">
            <w:pPr>
              <w:rPr>
                <w:lang w:val="en-US"/>
              </w:rPr>
            </w:pPr>
            <w:r w:rsidRPr="00B43E87">
              <w:rPr>
                <w:lang w:val="en-US"/>
              </w:rPr>
              <w:t>continuous NRI events</w:t>
            </w:r>
          </w:p>
          <w:p w:rsidR="00B85B9F" w:rsidRPr="00B43E87" w:rsidRDefault="00B85B9F" w:rsidP="00B239A7">
            <w:pPr>
              <w:rPr>
                <w:lang w:val="en-US"/>
              </w:rPr>
            </w:pPr>
            <w:r w:rsidRPr="00B43E87">
              <w:rPr>
                <w:lang w:val="en-US"/>
              </w:rPr>
              <w:t>continuous NRI non-events</w:t>
            </w:r>
          </w:p>
          <w:p w:rsidR="00B85B9F" w:rsidRPr="00B43E87" w:rsidRDefault="00B85B9F" w:rsidP="00B239A7">
            <w:pPr>
              <w:rPr>
                <w:lang w:val="en-US"/>
              </w:rPr>
            </w:pPr>
            <w:r w:rsidRPr="00B43E87">
              <w:rPr>
                <w:lang w:val="en-US"/>
              </w:rPr>
              <w:t>continuous NRI</w:t>
            </w:r>
          </w:p>
        </w:tc>
        <w:tc>
          <w:tcPr>
            <w:tcW w:w="2977" w:type="dxa"/>
            <w:tcBorders>
              <w:top w:val="dashed" w:sz="4" w:space="0" w:color="auto"/>
              <w:bottom w:val="dashed" w:sz="4" w:space="0" w:color="auto"/>
            </w:tcBorders>
          </w:tcPr>
          <w:p w:rsidR="00B85B9F" w:rsidRPr="00241F31" w:rsidRDefault="00B85B9F" w:rsidP="00B239A7">
            <w:pPr>
              <w:rPr>
                <w:lang w:val="en-US"/>
              </w:rPr>
            </w:pPr>
            <w:r w:rsidRPr="00241F31">
              <w:rPr>
                <w:lang w:val="en-US"/>
              </w:rPr>
              <w:t xml:space="preserve">Fig </w:t>
            </w:r>
            <w:r w:rsidR="00FB268E">
              <w:rPr>
                <w:lang w:val="en-US"/>
              </w:rPr>
              <w:t>5</w:t>
            </w:r>
            <w:r w:rsidRPr="00241F31">
              <w:rPr>
                <w:lang w:val="en-US"/>
              </w:rPr>
              <w:t>: Reclassification graph</w:t>
            </w:r>
          </w:p>
          <w:p w:rsidR="00B85B9F" w:rsidRPr="00241F31" w:rsidRDefault="00B85B9F" w:rsidP="00B239A7">
            <w:pPr>
              <w:rPr>
                <w:lang w:val="en-US"/>
              </w:rPr>
            </w:pPr>
          </w:p>
        </w:tc>
        <w:tc>
          <w:tcPr>
            <w:tcW w:w="1559" w:type="dxa"/>
            <w:tcBorders>
              <w:top w:val="dashed" w:sz="4" w:space="0" w:color="auto"/>
              <w:bottom w:val="dashed" w:sz="4" w:space="0" w:color="auto"/>
            </w:tcBorders>
          </w:tcPr>
          <w:p w:rsidR="00B85B9F" w:rsidRPr="00241F31" w:rsidRDefault="00B85B9F" w:rsidP="00B239A7">
            <w:pPr>
              <w:rPr>
                <w:lang w:val="en-US"/>
              </w:rPr>
            </w:pPr>
            <w:r w:rsidRPr="00241F31">
              <w:rPr>
                <w:lang w:val="en-US"/>
              </w:rPr>
              <w:t>24.6%</w:t>
            </w:r>
          </w:p>
          <w:p w:rsidR="00B85B9F" w:rsidRPr="00241F31" w:rsidRDefault="00B85B9F" w:rsidP="00B239A7">
            <w:pPr>
              <w:rPr>
                <w:lang w:val="en-US"/>
              </w:rPr>
            </w:pPr>
            <w:r w:rsidRPr="00241F31">
              <w:rPr>
                <w:lang w:val="en-US"/>
              </w:rPr>
              <w:t>5.5%</w:t>
            </w:r>
          </w:p>
          <w:p w:rsidR="00B85B9F" w:rsidRPr="00241F31" w:rsidRDefault="00B85B9F" w:rsidP="00B239A7">
            <w:pPr>
              <w:rPr>
                <w:lang w:val="en-US"/>
              </w:rPr>
            </w:pPr>
            <w:r w:rsidRPr="00241F31">
              <w:rPr>
                <w:lang w:val="en-US"/>
              </w:rPr>
              <w:t>0.301</w:t>
            </w:r>
          </w:p>
        </w:tc>
        <w:tc>
          <w:tcPr>
            <w:tcW w:w="6237" w:type="dxa"/>
            <w:tcBorders>
              <w:top w:val="dashed" w:sz="4" w:space="0" w:color="auto"/>
              <w:bottom w:val="dashed" w:sz="4" w:space="0" w:color="auto"/>
            </w:tcBorders>
          </w:tcPr>
          <w:p w:rsidR="00B85B9F" w:rsidRPr="00241F31" w:rsidRDefault="00B85B9F" w:rsidP="00DD532A">
            <w:pPr>
              <w:rPr>
                <w:lang w:val="en-US"/>
              </w:rPr>
            </w:pPr>
            <w:r w:rsidRPr="00241F31">
              <w:rPr>
                <w:lang w:val="en-US"/>
              </w:rPr>
              <w:t>A net 24.6% of those with events receive higher predicted risks, and a net 5.5% of non-events receive lower predicted risks. Their sum is 0.301.</w:t>
            </w:r>
          </w:p>
        </w:tc>
      </w:tr>
      <w:tr w:rsidR="00B85B9F" w:rsidRPr="00241F31" w:rsidTr="00977694">
        <w:tc>
          <w:tcPr>
            <w:tcW w:w="3227" w:type="dxa"/>
            <w:tcBorders>
              <w:top w:val="dashed" w:sz="4" w:space="0" w:color="auto"/>
              <w:bottom w:val="nil"/>
            </w:tcBorders>
          </w:tcPr>
          <w:p w:rsidR="00B85B9F" w:rsidRPr="00B43E87" w:rsidRDefault="00B85B9F" w:rsidP="00B43E87">
            <w:pPr>
              <w:rPr>
                <w:i/>
                <w:lang w:val="en-US"/>
              </w:rPr>
            </w:pPr>
            <w:r w:rsidRPr="00241F31">
              <w:rPr>
                <w:lang w:val="en-US"/>
              </w:rPr>
              <w:t xml:space="preserve">   </w:t>
            </w:r>
            <w:r w:rsidRPr="00B43E87">
              <w:rPr>
                <w:i/>
                <w:lang w:val="en-US"/>
              </w:rPr>
              <w:t>Dichotomized classification</w:t>
            </w:r>
          </w:p>
        </w:tc>
        <w:tc>
          <w:tcPr>
            <w:tcW w:w="2977" w:type="dxa"/>
            <w:tcBorders>
              <w:top w:val="dashed" w:sz="4" w:space="0" w:color="auto"/>
              <w:bottom w:val="nil"/>
            </w:tcBorders>
          </w:tcPr>
          <w:p w:rsidR="00B85B9F" w:rsidRPr="00241F31" w:rsidRDefault="00B85B9F">
            <w:pPr>
              <w:rPr>
                <w:lang w:val="en-US"/>
              </w:rPr>
            </w:pPr>
          </w:p>
        </w:tc>
        <w:tc>
          <w:tcPr>
            <w:tcW w:w="1559" w:type="dxa"/>
            <w:tcBorders>
              <w:top w:val="dashed" w:sz="4" w:space="0" w:color="auto"/>
              <w:bottom w:val="nil"/>
            </w:tcBorders>
          </w:tcPr>
          <w:p w:rsidR="00B85B9F" w:rsidRPr="00241F31" w:rsidRDefault="00B85B9F">
            <w:pPr>
              <w:rPr>
                <w:lang w:val="en-US"/>
              </w:rPr>
            </w:pPr>
          </w:p>
        </w:tc>
        <w:tc>
          <w:tcPr>
            <w:tcW w:w="6237" w:type="dxa"/>
            <w:tcBorders>
              <w:top w:val="dashed" w:sz="4" w:space="0" w:color="auto"/>
              <w:bottom w:val="nil"/>
            </w:tcBorders>
          </w:tcPr>
          <w:p w:rsidR="00B85B9F" w:rsidRPr="00241F31" w:rsidRDefault="00B85B9F">
            <w:pPr>
              <w:rPr>
                <w:lang w:val="en-US"/>
              </w:rPr>
            </w:pPr>
          </w:p>
        </w:tc>
      </w:tr>
      <w:tr w:rsidR="00B85B9F" w:rsidRPr="00AF4A4E" w:rsidTr="00977694">
        <w:tc>
          <w:tcPr>
            <w:tcW w:w="3227" w:type="dxa"/>
            <w:tcBorders>
              <w:top w:val="nil"/>
              <w:bottom w:val="dashed" w:sz="4" w:space="0" w:color="auto"/>
            </w:tcBorders>
          </w:tcPr>
          <w:p w:rsidR="00B85B9F" w:rsidRPr="00241F31" w:rsidRDefault="00B85B9F" w:rsidP="0023123E">
            <w:pPr>
              <w:rPr>
                <w:lang w:val="en-US"/>
              </w:rPr>
            </w:pPr>
            <w:r w:rsidRPr="00241F31">
              <w:rPr>
                <w:rFonts w:ascii="Lucida Grande Greek" w:hAnsi="Lucida Grande Greek" w:cs="Lucida Grande Greek"/>
                <w:b/>
                <w:color w:val="000000"/>
                <w:lang w:val="en-US"/>
              </w:rPr>
              <w:t>Δ</w:t>
            </w:r>
            <w:r w:rsidRPr="00241F31">
              <w:rPr>
                <w:lang w:val="en-US"/>
              </w:rPr>
              <w:t>AUC</w:t>
            </w:r>
          </w:p>
        </w:tc>
        <w:tc>
          <w:tcPr>
            <w:tcW w:w="2977" w:type="dxa"/>
            <w:tcBorders>
              <w:top w:val="nil"/>
              <w:bottom w:val="dashed" w:sz="4" w:space="0" w:color="auto"/>
            </w:tcBorders>
          </w:tcPr>
          <w:p w:rsidR="00B85B9F" w:rsidRPr="00241F31" w:rsidRDefault="00B85B9F" w:rsidP="005D2C37">
            <w:pPr>
              <w:rPr>
                <w:lang w:val="en-US"/>
              </w:rPr>
            </w:pPr>
            <w:r w:rsidRPr="00241F31">
              <w:rPr>
                <w:lang w:val="en-US"/>
              </w:rPr>
              <w:t xml:space="preserve">Fig </w:t>
            </w:r>
            <w:r w:rsidR="00FB268E">
              <w:rPr>
                <w:lang w:val="en-US"/>
              </w:rPr>
              <w:t>4</w:t>
            </w:r>
            <w:r w:rsidRPr="00241F31">
              <w:rPr>
                <w:lang w:val="en-US"/>
              </w:rPr>
              <w:t>: ROC curve</w:t>
            </w:r>
          </w:p>
        </w:tc>
        <w:tc>
          <w:tcPr>
            <w:tcW w:w="1559" w:type="dxa"/>
            <w:tcBorders>
              <w:top w:val="nil"/>
              <w:bottom w:val="dashed" w:sz="4" w:space="0" w:color="auto"/>
            </w:tcBorders>
          </w:tcPr>
          <w:p w:rsidR="00B85B9F" w:rsidRPr="00241F31" w:rsidRDefault="00B85B9F" w:rsidP="0023123E">
            <w:pPr>
              <w:rPr>
                <w:lang w:val="en-US"/>
              </w:rPr>
            </w:pPr>
            <w:r w:rsidRPr="00241F31">
              <w:rPr>
                <w:lang w:val="en-US"/>
              </w:rPr>
              <w:t>0.029</w:t>
            </w:r>
          </w:p>
        </w:tc>
        <w:tc>
          <w:tcPr>
            <w:tcW w:w="6237" w:type="dxa"/>
            <w:tcBorders>
              <w:top w:val="nil"/>
              <w:bottom w:val="dashed" w:sz="4" w:space="0" w:color="auto"/>
            </w:tcBorders>
          </w:tcPr>
          <w:p w:rsidR="00B85B9F" w:rsidRPr="00241F31" w:rsidRDefault="00476E79" w:rsidP="00BE31EF">
            <w:pPr>
              <w:rPr>
                <w:lang w:val="en-US"/>
              </w:rPr>
            </w:pPr>
            <w:r>
              <w:rPr>
                <w:lang w:val="en-US"/>
              </w:rPr>
              <w:t>T</w:t>
            </w:r>
            <w:r w:rsidRPr="00476E79">
              <w:rPr>
                <w:lang w:val="en-US"/>
              </w:rPr>
              <w:t xml:space="preserve">he probability of correctly identifying who will </w:t>
            </w:r>
            <w:r w:rsidR="00BE31EF">
              <w:rPr>
                <w:lang w:val="en-US"/>
              </w:rPr>
              <w:t>develop</w:t>
            </w:r>
            <w:r w:rsidRPr="00476E79">
              <w:rPr>
                <w:lang w:val="en-US"/>
              </w:rPr>
              <w:t xml:space="preserve"> a CHD event </w:t>
            </w:r>
            <w:r>
              <w:rPr>
                <w:lang w:val="en-US"/>
              </w:rPr>
              <w:t>increases by 2.9% among</w:t>
            </w:r>
            <w:r w:rsidRPr="00476E79">
              <w:rPr>
                <w:lang w:val="en-US"/>
              </w:rPr>
              <w:t xml:space="preserve"> a </w:t>
            </w:r>
            <w:r>
              <w:rPr>
                <w:lang w:val="en-US"/>
              </w:rPr>
              <w:t xml:space="preserve">random </w:t>
            </w:r>
            <w:r w:rsidRPr="00476E79">
              <w:rPr>
                <w:lang w:val="en-US"/>
              </w:rPr>
              <w:t xml:space="preserve">pair of </w:t>
            </w:r>
            <w:r>
              <w:rPr>
                <w:lang w:val="en-US"/>
              </w:rPr>
              <w:t>participants</w:t>
            </w:r>
            <w:r w:rsidRPr="00241F31" w:rsidDel="00476E79">
              <w:rPr>
                <w:lang w:val="en-US"/>
              </w:rPr>
              <w:t xml:space="preserve"> </w:t>
            </w:r>
            <w:r w:rsidR="00BE31EF">
              <w:rPr>
                <w:lang w:val="en-US"/>
              </w:rPr>
              <w:t xml:space="preserve">where 1 has an event and 1 has no event, </w:t>
            </w:r>
            <w:r w:rsidR="00B85B9F">
              <w:rPr>
                <w:lang w:val="en-US"/>
              </w:rPr>
              <w:t>if a</w:t>
            </w:r>
            <w:r w:rsidR="00B85B9F" w:rsidRPr="00241F31">
              <w:rPr>
                <w:lang w:val="en-US"/>
              </w:rPr>
              <w:t xml:space="preserve"> decision threshold of 20% 10-year CHD risk</w:t>
            </w:r>
            <w:r w:rsidR="00B85B9F">
              <w:rPr>
                <w:lang w:val="en-US"/>
              </w:rPr>
              <w:t xml:space="preserve"> is applied</w:t>
            </w:r>
            <w:r>
              <w:rPr>
                <w:lang w:val="en-US"/>
              </w:rPr>
              <w:t>.</w:t>
            </w:r>
          </w:p>
        </w:tc>
      </w:tr>
      <w:tr w:rsidR="00B85B9F" w:rsidRPr="00AF4A4E" w:rsidTr="00977694">
        <w:tc>
          <w:tcPr>
            <w:tcW w:w="3227" w:type="dxa"/>
            <w:tcBorders>
              <w:top w:val="dashed" w:sz="4" w:space="0" w:color="auto"/>
              <w:bottom w:val="dashed" w:sz="4" w:space="0" w:color="auto"/>
            </w:tcBorders>
          </w:tcPr>
          <w:p w:rsidR="00B85B9F" w:rsidRPr="00241F31" w:rsidRDefault="00B85B9F">
            <w:pPr>
              <w:rPr>
                <w:lang w:val="en-US"/>
              </w:rPr>
            </w:pPr>
            <w:r w:rsidRPr="00241F31">
              <w:rPr>
                <w:lang w:val="en-US"/>
              </w:rPr>
              <w:t>NRI events</w:t>
            </w:r>
          </w:p>
          <w:p w:rsidR="00B85B9F" w:rsidRPr="00241F31" w:rsidRDefault="00B85B9F">
            <w:pPr>
              <w:rPr>
                <w:lang w:val="en-US"/>
              </w:rPr>
            </w:pPr>
            <w:r w:rsidRPr="00241F31">
              <w:rPr>
                <w:lang w:val="en-US"/>
              </w:rPr>
              <w:t>NRI non-events</w:t>
            </w:r>
          </w:p>
          <w:p w:rsidR="00B85B9F" w:rsidRPr="00241F31" w:rsidRDefault="00B85B9F">
            <w:pPr>
              <w:rPr>
                <w:lang w:val="en-US"/>
              </w:rPr>
            </w:pPr>
            <w:r w:rsidRPr="00241F31">
              <w:rPr>
                <w:lang w:val="en-US"/>
              </w:rPr>
              <w:t>NRI</w:t>
            </w:r>
          </w:p>
        </w:tc>
        <w:tc>
          <w:tcPr>
            <w:tcW w:w="2977" w:type="dxa"/>
            <w:tcBorders>
              <w:top w:val="dashed" w:sz="4" w:space="0" w:color="auto"/>
              <w:bottom w:val="dashed" w:sz="4" w:space="0" w:color="auto"/>
            </w:tcBorders>
          </w:tcPr>
          <w:p w:rsidR="00B85B9F" w:rsidRPr="00241F31" w:rsidRDefault="00B85B9F">
            <w:pPr>
              <w:rPr>
                <w:lang w:val="en-US"/>
              </w:rPr>
            </w:pPr>
            <w:r w:rsidRPr="00241F31">
              <w:rPr>
                <w:lang w:val="en-US"/>
              </w:rPr>
              <w:t>Table 2 and Table 3: reclassification tables</w:t>
            </w:r>
          </w:p>
          <w:p w:rsidR="00B31B05" w:rsidRDefault="00B31B05">
            <w:pPr>
              <w:rPr>
                <w:lang w:val="en-US"/>
              </w:rPr>
            </w:pPr>
            <w:r>
              <w:rPr>
                <w:lang w:val="en-US"/>
              </w:rPr>
              <w:t xml:space="preserve">Fig 3: </w:t>
            </w:r>
            <w:proofErr w:type="spellStart"/>
            <w:r>
              <w:rPr>
                <w:lang w:val="en-US"/>
              </w:rPr>
              <w:t>Predictiveness</w:t>
            </w:r>
            <w:proofErr w:type="spellEnd"/>
            <w:r>
              <w:rPr>
                <w:lang w:val="en-US"/>
              </w:rPr>
              <w:t xml:space="preserve"> curve</w:t>
            </w:r>
          </w:p>
          <w:p w:rsidR="00B85B9F" w:rsidRPr="00241F31" w:rsidRDefault="00B85B9F">
            <w:pPr>
              <w:rPr>
                <w:lang w:val="en-US"/>
              </w:rPr>
            </w:pPr>
            <w:r w:rsidRPr="00241F31">
              <w:rPr>
                <w:lang w:val="en-US"/>
              </w:rPr>
              <w:t xml:space="preserve">Fig </w:t>
            </w:r>
            <w:r w:rsidR="00FB268E">
              <w:rPr>
                <w:lang w:val="en-US"/>
              </w:rPr>
              <w:t>6</w:t>
            </w:r>
            <w:r w:rsidRPr="00241F31">
              <w:rPr>
                <w:lang w:val="en-US"/>
              </w:rPr>
              <w:t>: Net Reclassification Risk graph</w:t>
            </w:r>
          </w:p>
        </w:tc>
        <w:tc>
          <w:tcPr>
            <w:tcW w:w="1559" w:type="dxa"/>
            <w:tcBorders>
              <w:top w:val="dashed" w:sz="4" w:space="0" w:color="auto"/>
              <w:bottom w:val="dashed" w:sz="4" w:space="0" w:color="auto"/>
            </w:tcBorders>
          </w:tcPr>
          <w:p w:rsidR="00B85B9F" w:rsidRPr="00241F31" w:rsidRDefault="00B85B9F" w:rsidP="00B239A7">
            <w:pPr>
              <w:rPr>
                <w:lang w:val="en-US"/>
              </w:rPr>
            </w:pPr>
            <w:r w:rsidRPr="00241F31">
              <w:rPr>
                <w:lang w:val="en-US"/>
              </w:rPr>
              <w:t>6.0%</w:t>
            </w:r>
          </w:p>
          <w:p w:rsidR="00B85B9F" w:rsidRPr="00241F31" w:rsidRDefault="00B85B9F" w:rsidP="00B239A7">
            <w:pPr>
              <w:rPr>
                <w:lang w:val="en-US"/>
              </w:rPr>
            </w:pPr>
            <w:r w:rsidRPr="00241F31">
              <w:rPr>
                <w:lang w:val="en-US"/>
              </w:rPr>
              <w:t>-0.2%</w:t>
            </w:r>
          </w:p>
          <w:p w:rsidR="00B85B9F" w:rsidRPr="00241F31" w:rsidRDefault="00B85B9F">
            <w:pPr>
              <w:rPr>
                <w:lang w:val="en-US"/>
              </w:rPr>
            </w:pPr>
            <w:r w:rsidRPr="00241F31">
              <w:rPr>
                <w:lang w:val="en-US"/>
              </w:rPr>
              <w:t>0.058</w:t>
            </w:r>
          </w:p>
        </w:tc>
        <w:tc>
          <w:tcPr>
            <w:tcW w:w="6237" w:type="dxa"/>
            <w:tcBorders>
              <w:top w:val="dashed" w:sz="4" w:space="0" w:color="auto"/>
              <w:bottom w:val="dashed" w:sz="4" w:space="0" w:color="auto"/>
            </w:tcBorders>
          </w:tcPr>
          <w:p w:rsidR="00B85B9F" w:rsidRPr="00241F31" w:rsidRDefault="00B85B9F" w:rsidP="00476E79">
            <w:pPr>
              <w:rPr>
                <w:lang w:val="en-US"/>
              </w:rPr>
            </w:pPr>
            <w:r w:rsidRPr="00241F31">
              <w:rPr>
                <w:lang w:val="en-US"/>
              </w:rPr>
              <w:t>A net 6.0% increase in high risk classifications for those with events, with a minor net decrease</w:t>
            </w:r>
            <w:r w:rsidR="00B31B05">
              <w:rPr>
                <w:lang w:val="en-US"/>
              </w:rPr>
              <w:t xml:space="preserve"> (-0.2%)</w:t>
            </w:r>
            <w:r w:rsidRPr="00241F31">
              <w:rPr>
                <w:lang w:val="en-US"/>
              </w:rPr>
              <w:t xml:space="preserve"> in low risk classifications for those without events. The sum is</w:t>
            </w:r>
            <w:r w:rsidR="00B31B05">
              <w:rPr>
                <w:lang w:val="en-US"/>
              </w:rPr>
              <w:t xml:space="preserve"> the NRI (</w:t>
            </w:r>
            <w:r w:rsidRPr="00241F31">
              <w:rPr>
                <w:lang w:val="en-US"/>
              </w:rPr>
              <w:t>0.058</w:t>
            </w:r>
            <w:r w:rsidR="00B31B05">
              <w:rPr>
                <w:lang w:val="en-US"/>
              </w:rPr>
              <w:t>)</w:t>
            </w:r>
            <w:r w:rsidRPr="00241F31">
              <w:rPr>
                <w:lang w:val="en-US"/>
              </w:rPr>
              <w:t xml:space="preserve">, </w:t>
            </w:r>
            <w:r w:rsidR="00B31B05">
              <w:rPr>
                <w:lang w:val="en-US"/>
              </w:rPr>
              <w:t xml:space="preserve">which is </w:t>
            </w:r>
            <w:r w:rsidRPr="00241F31">
              <w:rPr>
                <w:lang w:val="en-US"/>
              </w:rPr>
              <w:t>twice the increase in AUC</w:t>
            </w:r>
            <w:r w:rsidR="00B31B05">
              <w:rPr>
                <w:lang w:val="en-US"/>
              </w:rPr>
              <w:t xml:space="preserve"> for this binary classification</w:t>
            </w:r>
            <w:r w:rsidRPr="00241F31">
              <w:rPr>
                <w:lang w:val="en-US"/>
              </w:rPr>
              <w:t>.</w:t>
            </w:r>
          </w:p>
        </w:tc>
      </w:tr>
      <w:tr w:rsidR="00B85B9F" w:rsidRPr="00AF4A4E" w:rsidTr="00977694">
        <w:tc>
          <w:tcPr>
            <w:tcW w:w="3227" w:type="dxa"/>
            <w:tcBorders>
              <w:top w:val="dashed" w:sz="4" w:space="0" w:color="auto"/>
              <w:bottom w:val="single" w:sz="4" w:space="0" w:color="auto"/>
            </w:tcBorders>
          </w:tcPr>
          <w:p w:rsidR="00B85B9F" w:rsidRPr="00241F31" w:rsidRDefault="00B85B9F">
            <w:pPr>
              <w:rPr>
                <w:lang w:val="en-US"/>
              </w:rPr>
            </w:pPr>
            <w:r>
              <w:rPr>
                <w:lang w:val="en-US"/>
              </w:rPr>
              <w:t>Net Benefit</w:t>
            </w:r>
          </w:p>
          <w:p w:rsidR="00B85B9F" w:rsidRPr="00241F31" w:rsidRDefault="00B85B9F">
            <w:pPr>
              <w:rPr>
                <w:lang w:val="en-US"/>
              </w:rPr>
            </w:pPr>
            <w:r w:rsidRPr="00241F31">
              <w:rPr>
                <w:lang w:val="en-US"/>
              </w:rPr>
              <w:lastRenderedPageBreak/>
              <w:t>Test threshold</w:t>
            </w:r>
          </w:p>
        </w:tc>
        <w:tc>
          <w:tcPr>
            <w:tcW w:w="2977" w:type="dxa"/>
            <w:tcBorders>
              <w:top w:val="dashed" w:sz="4" w:space="0" w:color="auto"/>
              <w:bottom w:val="single" w:sz="4" w:space="0" w:color="auto"/>
            </w:tcBorders>
          </w:tcPr>
          <w:p w:rsidR="00B85B9F" w:rsidRPr="00241F31" w:rsidRDefault="00B85B9F" w:rsidP="00B239A7">
            <w:pPr>
              <w:rPr>
                <w:lang w:val="en-US"/>
              </w:rPr>
            </w:pPr>
            <w:r w:rsidRPr="00241F31">
              <w:rPr>
                <w:lang w:val="en-US"/>
              </w:rPr>
              <w:lastRenderedPageBreak/>
              <w:t xml:space="preserve">Table 2 and Table 3: </w:t>
            </w:r>
            <w:r w:rsidRPr="00241F31">
              <w:rPr>
                <w:lang w:val="en-US"/>
              </w:rPr>
              <w:lastRenderedPageBreak/>
              <w:t xml:space="preserve">reclassification table </w:t>
            </w:r>
          </w:p>
          <w:p w:rsidR="00B85B9F" w:rsidRPr="00241F31" w:rsidRDefault="00B85B9F" w:rsidP="005D2C37">
            <w:pPr>
              <w:rPr>
                <w:lang w:val="en-US"/>
              </w:rPr>
            </w:pPr>
            <w:r w:rsidRPr="00241F31">
              <w:rPr>
                <w:lang w:val="en-US"/>
              </w:rPr>
              <w:t xml:space="preserve">Fig </w:t>
            </w:r>
            <w:r w:rsidR="00FB268E">
              <w:rPr>
                <w:lang w:val="en-US"/>
              </w:rPr>
              <w:t>7:</w:t>
            </w:r>
            <w:r w:rsidRPr="00241F31">
              <w:rPr>
                <w:lang w:val="en-US"/>
              </w:rPr>
              <w:t xml:space="preserve"> Decision curve as a sensitivity analysis. </w:t>
            </w:r>
          </w:p>
        </w:tc>
        <w:tc>
          <w:tcPr>
            <w:tcW w:w="1559" w:type="dxa"/>
            <w:tcBorders>
              <w:top w:val="dashed" w:sz="4" w:space="0" w:color="auto"/>
              <w:bottom w:val="single" w:sz="4" w:space="0" w:color="auto"/>
            </w:tcBorders>
          </w:tcPr>
          <w:p w:rsidR="00B85B9F" w:rsidRPr="00241F31" w:rsidRDefault="00B85B9F" w:rsidP="00B239A7">
            <w:pPr>
              <w:rPr>
                <w:lang w:val="en-US"/>
              </w:rPr>
            </w:pPr>
            <w:r w:rsidRPr="00241F31">
              <w:rPr>
                <w:lang w:val="en-US"/>
              </w:rPr>
              <w:lastRenderedPageBreak/>
              <w:t>3/1000</w:t>
            </w:r>
          </w:p>
          <w:p w:rsidR="00B85B9F" w:rsidRPr="00241F31" w:rsidRDefault="00B85B9F">
            <w:pPr>
              <w:rPr>
                <w:lang w:val="en-US"/>
              </w:rPr>
            </w:pPr>
            <w:r w:rsidRPr="00241F31">
              <w:rPr>
                <w:lang w:val="en-US"/>
              </w:rPr>
              <w:lastRenderedPageBreak/>
              <w:t>1/335</w:t>
            </w:r>
          </w:p>
        </w:tc>
        <w:tc>
          <w:tcPr>
            <w:tcW w:w="6237" w:type="dxa"/>
            <w:tcBorders>
              <w:top w:val="dashed" w:sz="4" w:space="0" w:color="auto"/>
              <w:bottom w:val="single" w:sz="4" w:space="0" w:color="auto"/>
            </w:tcBorders>
          </w:tcPr>
          <w:p w:rsidR="00B85B9F" w:rsidRPr="00241F31" w:rsidRDefault="00B85B9F">
            <w:pPr>
              <w:rPr>
                <w:lang w:val="en-US"/>
              </w:rPr>
            </w:pPr>
            <w:r w:rsidRPr="00241F31">
              <w:rPr>
                <w:lang w:val="en-US"/>
              </w:rPr>
              <w:lastRenderedPageBreak/>
              <w:t xml:space="preserve">The net number of true positive classifications increases </w:t>
            </w:r>
            <w:r w:rsidRPr="00241F31">
              <w:rPr>
                <w:lang w:val="en-US"/>
              </w:rPr>
              <w:lastRenderedPageBreak/>
              <w:t>by 3 in 1000 where HDL cholesterol is measured, on a scale from 0 to 5.6% (event rate). This implies that 335 measurement</w:t>
            </w:r>
            <w:r w:rsidR="00476E79">
              <w:rPr>
                <w:lang w:val="en-US"/>
              </w:rPr>
              <w:t>s</w:t>
            </w:r>
            <w:r w:rsidRPr="00241F31">
              <w:rPr>
                <w:lang w:val="en-US"/>
              </w:rPr>
              <w:t xml:space="preserve"> of HDL cholesterol have to be done to identify one more event as high risk without decreasing low risk classifications for those without events.</w:t>
            </w:r>
          </w:p>
        </w:tc>
      </w:tr>
    </w:tbl>
    <w:p w:rsidR="00B85B9F" w:rsidRPr="00A250CB" w:rsidRDefault="00B85B9F">
      <w:pPr>
        <w:rPr>
          <w:lang w:val="en-US"/>
        </w:rPr>
        <w:sectPr w:rsidR="00B85B9F" w:rsidRPr="00A250CB" w:rsidSect="00B43E87">
          <w:pgSz w:w="16840" w:h="11900" w:orient="landscape"/>
          <w:pgMar w:top="1800" w:right="1440" w:bottom="426" w:left="1440" w:header="708" w:footer="708" w:gutter="0"/>
          <w:cols w:space="708"/>
          <w:docGrid w:linePitch="360"/>
        </w:sectPr>
      </w:pPr>
    </w:p>
    <w:p w:rsidR="00B85B9F" w:rsidRPr="00A250CB" w:rsidRDefault="00B85B9F">
      <w:pPr>
        <w:rPr>
          <w:lang w:val="en-US"/>
        </w:rPr>
      </w:pPr>
      <w:r w:rsidRPr="00A250CB">
        <w:rPr>
          <w:lang w:val="en-US"/>
        </w:rPr>
        <w:lastRenderedPageBreak/>
        <w:t xml:space="preserve">Table </w:t>
      </w:r>
      <w:r>
        <w:rPr>
          <w:lang w:val="en-US"/>
        </w:rPr>
        <w:t>2</w:t>
      </w:r>
      <w:r w:rsidRPr="00A250CB">
        <w:rPr>
          <w:lang w:val="en-US"/>
        </w:rPr>
        <w:t xml:space="preserve">: Reclassification table with 2 categories </w:t>
      </w:r>
      <w:r>
        <w:rPr>
          <w:lang w:val="en-US"/>
        </w:rPr>
        <w:t>based on a</w:t>
      </w:r>
      <w:r w:rsidRPr="00A250CB">
        <w:rPr>
          <w:lang w:val="en-US"/>
        </w:rPr>
        <w:t xml:space="preserve"> &gt;20%</w:t>
      </w:r>
      <w:r>
        <w:rPr>
          <w:lang w:val="en-US"/>
        </w:rPr>
        <w:t xml:space="preserve"> 10-year CHD</w:t>
      </w:r>
      <w:r w:rsidRPr="00A250CB">
        <w:rPr>
          <w:lang w:val="en-US"/>
        </w:rPr>
        <w:t xml:space="preserve"> risk</w:t>
      </w:r>
      <w:r>
        <w:rPr>
          <w:lang w:val="en-US"/>
        </w:rPr>
        <w:t xml:space="preserve"> threshold to define low and high risk</w:t>
      </w:r>
    </w:p>
    <w:p w:rsidR="00B85B9F" w:rsidRPr="00A250CB" w:rsidRDefault="00B85B9F">
      <w:pPr>
        <w:rPr>
          <w:lang w:val="en-US"/>
        </w:rPr>
      </w:pPr>
    </w:p>
    <w:tbl>
      <w:tblPr>
        <w:tblW w:w="5778" w:type="dxa"/>
        <w:tblBorders>
          <w:top w:val="single" w:sz="4" w:space="0" w:color="auto"/>
          <w:bottom w:val="single" w:sz="4" w:space="0" w:color="auto"/>
        </w:tblBorders>
        <w:tblLayout w:type="fixed"/>
        <w:tblLook w:val="00A0" w:firstRow="1" w:lastRow="0" w:firstColumn="1" w:lastColumn="0" w:noHBand="0" w:noVBand="0"/>
      </w:tblPr>
      <w:tblGrid>
        <w:gridCol w:w="2581"/>
        <w:gridCol w:w="857"/>
        <w:gridCol w:w="1065"/>
        <w:gridCol w:w="1275"/>
      </w:tblGrid>
      <w:tr w:rsidR="00B85B9F" w:rsidRPr="00241F31" w:rsidTr="00B43E87">
        <w:tc>
          <w:tcPr>
            <w:tcW w:w="2581" w:type="dxa"/>
            <w:tcBorders>
              <w:top w:val="single" w:sz="4" w:space="0" w:color="auto"/>
              <w:bottom w:val="single" w:sz="4" w:space="0" w:color="auto"/>
            </w:tcBorders>
          </w:tcPr>
          <w:p w:rsidR="00B85B9F" w:rsidRPr="00241F31" w:rsidRDefault="00B85B9F" w:rsidP="00F1243B">
            <w:pPr>
              <w:rPr>
                <w:lang w:val="en-US"/>
              </w:rPr>
            </w:pPr>
          </w:p>
        </w:tc>
        <w:tc>
          <w:tcPr>
            <w:tcW w:w="857" w:type="dxa"/>
            <w:tcBorders>
              <w:top w:val="single" w:sz="4" w:space="0" w:color="auto"/>
              <w:bottom w:val="single" w:sz="4" w:space="0" w:color="auto"/>
            </w:tcBorders>
          </w:tcPr>
          <w:p w:rsidR="00B85B9F" w:rsidRPr="00241F31" w:rsidRDefault="00B85B9F" w:rsidP="00F1243B">
            <w:pPr>
              <w:rPr>
                <w:lang w:val="en-US"/>
              </w:rPr>
            </w:pPr>
          </w:p>
        </w:tc>
        <w:tc>
          <w:tcPr>
            <w:tcW w:w="2340" w:type="dxa"/>
            <w:gridSpan w:val="2"/>
            <w:tcBorders>
              <w:top w:val="single" w:sz="4" w:space="0" w:color="auto"/>
              <w:bottom w:val="single" w:sz="4" w:space="0" w:color="auto"/>
            </w:tcBorders>
          </w:tcPr>
          <w:p w:rsidR="00B85B9F" w:rsidRPr="00241F31" w:rsidRDefault="00B85B9F" w:rsidP="00F1243B">
            <w:pPr>
              <w:rPr>
                <w:lang w:val="en-US"/>
              </w:rPr>
            </w:pPr>
            <w:r w:rsidRPr="00241F31">
              <w:rPr>
                <w:lang w:val="en-US"/>
              </w:rPr>
              <w:t>Model with HDL cholesterol</w:t>
            </w:r>
          </w:p>
        </w:tc>
      </w:tr>
      <w:tr w:rsidR="00B85B9F" w:rsidRPr="00241F31" w:rsidTr="00B43E87">
        <w:tc>
          <w:tcPr>
            <w:tcW w:w="2581" w:type="dxa"/>
            <w:tcBorders>
              <w:top w:val="single" w:sz="4" w:space="0" w:color="auto"/>
            </w:tcBorders>
          </w:tcPr>
          <w:p w:rsidR="00B85B9F" w:rsidRPr="00241F31" w:rsidRDefault="00B85B9F" w:rsidP="00F1243B">
            <w:pPr>
              <w:rPr>
                <w:i/>
                <w:lang w:val="en-US"/>
              </w:rPr>
            </w:pPr>
            <w:r w:rsidRPr="00241F31">
              <w:rPr>
                <w:i/>
                <w:lang w:val="en-US"/>
              </w:rPr>
              <w:t>Without event: n=3081</w:t>
            </w:r>
          </w:p>
        </w:tc>
        <w:tc>
          <w:tcPr>
            <w:tcW w:w="857" w:type="dxa"/>
            <w:tcBorders>
              <w:top w:val="single" w:sz="4" w:space="0" w:color="auto"/>
            </w:tcBorders>
          </w:tcPr>
          <w:p w:rsidR="00B85B9F" w:rsidRPr="00241F31" w:rsidRDefault="00B85B9F" w:rsidP="00F1243B">
            <w:pPr>
              <w:rPr>
                <w:lang w:val="en-US"/>
              </w:rPr>
            </w:pPr>
          </w:p>
        </w:tc>
        <w:tc>
          <w:tcPr>
            <w:tcW w:w="1065" w:type="dxa"/>
            <w:tcBorders>
              <w:top w:val="single" w:sz="4" w:space="0" w:color="auto"/>
            </w:tcBorders>
          </w:tcPr>
          <w:p w:rsidR="00B85B9F" w:rsidRPr="00241F31" w:rsidRDefault="00B85B9F" w:rsidP="00F1243B">
            <w:pPr>
              <w:rPr>
                <w:lang w:val="en-US"/>
              </w:rPr>
            </w:pPr>
            <w:r w:rsidRPr="00241F31">
              <w:rPr>
                <w:lang w:val="en-US"/>
              </w:rPr>
              <w:t>Low</w:t>
            </w:r>
          </w:p>
        </w:tc>
        <w:tc>
          <w:tcPr>
            <w:tcW w:w="1275" w:type="dxa"/>
            <w:tcBorders>
              <w:top w:val="single" w:sz="4" w:space="0" w:color="auto"/>
            </w:tcBorders>
          </w:tcPr>
          <w:p w:rsidR="00B85B9F" w:rsidRPr="00241F31" w:rsidRDefault="00B85B9F" w:rsidP="00F1243B">
            <w:pPr>
              <w:rPr>
                <w:lang w:val="en-US"/>
              </w:rPr>
            </w:pPr>
            <w:r w:rsidRPr="00241F31">
              <w:rPr>
                <w:lang w:val="en-US"/>
              </w:rPr>
              <w:t>High</w:t>
            </w:r>
          </w:p>
        </w:tc>
      </w:tr>
      <w:tr w:rsidR="00B85B9F" w:rsidRPr="00241F31" w:rsidTr="00B43E87">
        <w:tc>
          <w:tcPr>
            <w:tcW w:w="2581" w:type="dxa"/>
            <w:vMerge w:val="restart"/>
            <w:vAlign w:val="center"/>
          </w:tcPr>
          <w:p w:rsidR="00B85B9F" w:rsidRPr="00241F31" w:rsidRDefault="00B85B9F" w:rsidP="00AB3FEF">
            <w:pPr>
              <w:rPr>
                <w:lang w:val="en-US"/>
              </w:rPr>
            </w:pPr>
            <w:r w:rsidRPr="00241F31">
              <w:rPr>
                <w:lang w:val="en-US"/>
              </w:rPr>
              <w:t>Model without HDL cholesterol</w:t>
            </w:r>
          </w:p>
        </w:tc>
        <w:tc>
          <w:tcPr>
            <w:tcW w:w="857" w:type="dxa"/>
          </w:tcPr>
          <w:p w:rsidR="00B85B9F" w:rsidRPr="00241F31" w:rsidRDefault="00B85B9F" w:rsidP="00B87139">
            <w:pPr>
              <w:rPr>
                <w:lang w:val="en-US"/>
              </w:rPr>
            </w:pPr>
            <w:r w:rsidRPr="00241F31">
              <w:rPr>
                <w:lang w:val="en-US"/>
              </w:rPr>
              <w:t>Low</w:t>
            </w:r>
          </w:p>
        </w:tc>
        <w:tc>
          <w:tcPr>
            <w:tcW w:w="1065" w:type="dxa"/>
          </w:tcPr>
          <w:p w:rsidR="00B85B9F" w:rsidRPr="00241F31" w:rsidRDefault="00B85B9F" w:rsidP="00B87139">
            <w:pPr>
              <w:rPr>
                <w:lang w:val="en-US"/>
              </w:rPr>
            </w:pPr>
            <w:r w:rsidRPr="00241F31">
              <w:rPr>
                <w:lang w:val="en-US"/>
              </w:rPr>
              <w:t>2952</w:t>
            </w:r>
          </w:p>
        </w:tc>
        <w:tc>
          <w:tcPr>
            <w:tcW w:w="1275" w:type="dxa"/>
          </w:tcPr>
          <w:p w:rsidR="00B85B9F" w:rsidRPr="00241F31" w:rsidRDefault="00B85B9F" w:rsidP="00B87139">
            <w:pPr>
              <w:rPr>
                <w:lang w:val="en-US"/>
              </w:rPr>
            </w:pPr>
            <w:r w:rsidRPr="00241F31">
              <w:rPr>
                <w:lang w:val="en-US"/>
              </w:rPr>
              <w:t>31</w:t>
            </w:r>
          </w:p>
        </w:tc>
      </w:tr>
      <w:tr w:rsidR="00B85B9F" w:rsidRPr="00241F31" w:rsidTr="00B43E87">
        <w:tc>
          <w:tcPr>
            <w:tcW w:w="2581" w:type="dxa"/>
            <w:vMerge/>
          </w:tcPr>
          <w:p w:rsidR="00B85B9F" w:rsidRPr="00241F31" w:rsidRDefault="00B85B9F" w:rsidP="00B87139">
            <w:pPr>
              <w:rPr>
                <w:lang w:val="en-US"/>
              </w:rPr>
            </w:pPr>
          </w:p>
        </w:tc>
        <w:tc>
          <w:tcPr>
            <w:tcW w:w="857" w:type="dxa"/>
          </w:tcPr>
          <w:p w:rsidR="00B85B9F" w:rsidRPr="00241F31" w:rsidRDefault="00B85B9F" w:rsidP="00B87139">
            <w:pPr>
              <w:rPr>
                <w:lang w:val="en-US"/>
              </w:rPr>
            </w:pPr>
            <w:r w:rsidRPr="00241F31">
              <w:rPr>
                <w:lang w:val="en-US"/>
              </w:rPr>
              <w:t>High</w:t>
            </w:r>
          </w:p>
        </w:tc>
        <w:tc>
          <w:tcPr>
            <w:tcW w:w="1065" w:type="dxa"/>
          </w:tcPr>
          <w:p w:rsidR="00B85B9F" w:rsidRPr="00241F31" w:rsidRDefault="00B85B9F" w:rsidP="00B87139">
            <w:pPr>
              <w:rPr>
                <w:lang w:val="en-US"/>
              </w:rPr>
            </w:pPr>
            <w:r w:rsidRPr="00241F31">
              <w:rPr>
                <w:lang w:val="en-US"/>
              </w:rPr>
              <w:t>26</w:t>
            </w:r>
          </w:p>
        </w:tc>
        <w:tc>
          <w:tcPr>
            <w:tcW w:w="1275" w:type="dxa"/>
          </w:tcPr>
          <w:p w:rsidR="00B85B9F" w:rsidRPr="00241F31" w:rsidRDefault="00B85B9F" w:rsidP="00B87139">
            <w:pPr>
              <w:rPr>
                <w:lang w:val="en-US"/>
              </w:rPr>
            </w:pPr>
            <w:r w:rsidRPr="00241F31">
              <w:rPr>
                <w:lang w:val="en-US"/>
              </w:rPr>
              <w:t>72</w:t>
            </w:r>
          </w:p>
        </w:tc>
      </w:tr>
      <w:tr w:rsidR="00B85B9F" w:rsidRPr="00241F31" w:rsidTr="00B43E87">
        <w:tc>
          <w:tcPr>
            <w:tcW w:w="2581" w:type="dxa"/>
          </w:tcPr>
          <w:p w:rsidR="00B85B9F" w:rsidRPr="00241F31" w:rsidRDefault="00B85B9F" w:rsidP="00F1243B">
            <w:pPr>
              <w:rPr>
                <w:i/>
                <w:lang w:val="en-US"/>
              </w:rPr>
            </w:pPr>
            <w:r w:rsidRPr="00241F31">
              <w:rPr>
                <w:i/>
                <w:lang w:val="en-US"/>
              </w:rPr>
              <w:t>With event: n=183</w:t>
            </w:r>
          </w:p>
        </w:tc>
        <w:tc>
          <w:tcPr>
            <w:tcW w:w="857" w:type="dxa"/>
          </w:tcPr>
          <w:p w:rsidR="00B85B9F" w:rsidRPr="00241F31" w:rsidRDefault="00B85B9F" w:rsidP="00F1243B">
            <w:pPr>
              <w:rPr>
                <w:lang w:val="en-US"/>
              </w:rPr>
            </w:pPr>
          </w:p>
        </w:tc>
        <w:tc>
          <w:tcPr>
            <w:tcW w:w="1065" w:type="dxa"/>
          </w:tcPr>
          <w:p w:rsidR="00B85B9F" w:rsidRPr="00241F31" w:rsidRDefault="00B85B9F" w:rsidP="00F1243B">
            <w:pPr>
              <w:rPr>
                <w:lang w:val="en-US"/>
              </w:rPr>
            </w:pPr>
            <w:r w:rsidRPr="00241F31">
              <w:rPr>
                <w:lang w:val="en-US"/>
              </w:rPr>
              <w:t>Low</w:t>
            </w:r>
          </w:p>
        </w:tc>
        <w:tc>
          <w:tcPr>
            <w:tcW w:w="1275" w:type="dxa"/>
          </w:tcPr>
          <w:p w:rsidR="00B85B9F" w:rsidRPr="00241F31" w:rsidRDefault="00B85B9F" w:rsidP="00F1243B">
            <w:pPr>
              <w:rPr>
                <w:lang w:val="en-US"/>
              </w:rPr>
            </w:pPr>
            <w:r w:rsidRPr="00241F31">
              <w:rPr>
                <w:lang w:val="en-US"/>
              </w:rPr>
              <w:t>High</w:t>
            </w:r>
          </w:p>
        </w:tc>
      </w:tr>
      <w:tr w:rsidR="00B85B9F" w:rsidRPr="00241F31" w:rsidTr="00B43E87">
        <w:tc>
          <w:tcPr>
            <w:tcW w:w="2581" w:type="dxa"/>
            <w:vMerge w:val="restart"/>
            <w:vAlign w:val="center"/>
          </w:tcPr>
          <w:p w:rsidR="00B85B9F" w:rsidRPr="00241F31" w:rsidRDefault="00B85B9F" w:rsidP="00F1243B">
            <w:pPr>
              <w:rPr>
                <w:lang w:val="en-US"/>
              </w:rPr>
            </w:pPr>
            <w:r w:rsidRPr="00241F31">
              <w:rPr>
                <w:lang w:val="en-US"/>
              </w:rPr>
              <w:t>Model without HDL cholesterol</w:t>
            </w:r>
          </w:p>
        </w:tc>
        <w:tc>
          <w:tcPr>
            <w:tcW w:w="857" w:type="dxa"/>
          </w:tcPr>
          <w:p w:rsidR="00B85B9F" w:rsidRPr="00241F31" w:rsidRDefault="00B85B9F" w:rsidP="00F1243B">
            <w:pPr>
              <w:rPr>
                <w:lang w:val="en-US"/>
              </w:rPr>
            </w:pPr>
            <w:r w:rsidRPr="00241F31">
              <w:rPr>
                <w:lang w:val="en-US"/>
              </w:rPr>
              <w:t>Low</w:t>
            </w:r>
          </w:p>
        </w:tc>
        <w:tc>
          <w:tcPr>
            <w:tcW w:w="1065" w:type="dxa"/>
          </w:tcPr>
          <w:p w:rsidR="00B85B9F" w:rsidRPr="00241F31" w:rsidRDefault="00B85B9F" w:rsidP="00F1243B">
            <w:pPr>
              <w:rPr>
                <w:lang w:val="en-US"/>
              </w:rPr>
            </w:pPr>
            <w:r w:rsidRPr="00241F31">
              <w:rPr>
                <w:lang w:val="en-US"/>
              </w:rPr>
              <w:t>145</w:t>
            </w:r>
          </w:p>
        </w:tc>
        <w:tc>
          <w:tcPr>
            <w:tcW w:w="1275" w:type="dxa"/>
          </w:tcPr>
          <w:p w:rsidR="00B85B9F" w:rsidRPr="00241F31" w:rsidRDefault="00B85B9F" w:rsidP="00F1243B">
            <w:pPr>
              <w:rPr>
                <w:lang w:val="en-US"/>
              </w:rPr>
            </w:pPr>
            <w:r w:rsidRPr="00241F31">
              <w:rPr>
                <w:lang w:val="en-US"/>
              </w:rPr>
              <w:t>14</w:t>
            </w:r>
          </w:p>
        </w:tc>
      </w:tr>
      <w:tr w:rsidR="00B85B9F" w:rsidRPr="00241F31" w:rsidTr="00B43E87">
        <w:tc>
          <w:tcPr>
            <w:tcW w:w="2581" w:type="dxa"/>
            <w:vMerge/>
            <w:tcBorders>
              <w:bottom w:val="single" w:sz="4" w:space="0" w:color="auto"/>
            </w:tcBorders>
          </w:tcPr>
          <w:p w:rsidR="00B85B9F" w:rsidRPr="00241F31" w:rsidRDefault="00B85B9F" w:rsidP="00F1243B">
            <w:pPr>
              <w:rPr>
                <w:lang w:val="en-US"/>
              </w:rPr>
            </w:pPr>
          </w:p>
        </w:tc>
        <w:tc>
          <w:tcPr>
            <w:tcW w:w="857" w:type="dxa"/>
            <w:tcBorders>
              <w:bottom w:val="single" w:sz="4" w:space="0" w:color="auto"/>
            </w:tcBorders>
          </w:tcPr>
          <w:p w:rsidR="00B85B9F" w:rsidRPr="00241F31" w:rsidRDefault="00B85B9F" w:rsidP="00F1243B">
            <w:pPr>
              <w:rPr>
                <w:lang w:val="en-US"/>
              </w:rPr>
            </w:pPr>
            <w:r w:rsidRPr="00241F31">
              <w:rPr>
                <w:lang w:val="en-US"/>
              </w:rPr>
              <w:t>High</w:t>
            </w:r>
          </w:p>
        </w:tc>
        <w:tc>
          <w:tcPr>
            <w:tcW w:w="1065" w:type="dxa"/>
            <w:tcBorders>
              <w:bottom w:val="single" w:sz="4" w:space="0" w:color="auto"/>
            </w:tcBorders>
          </w:tcPr>
          <w:p w:rsidR="00B85B9F" w:rsidRPr="00241F31" w:rsidRDefault="00B85B9F" w:rsidP="00F1243B">
            <w:pPr>
              <w:rPr>
                <w:lang w:val="en-US"/>
              </w:rPr>
            </w:pPr>
            <w:r w:rsidRPr="00241F31">
              <w:rPr>
                <w:lang w:val="en-US"/>
              </w:rPr>
              <w:t>3</w:t>
            </w:r>
          </w:p>
        </w:tc>
        <w:tc>
          <w:tcPr>
            <w:tcW w:w="1275" w:type="dxa"/>
            <w:tcBorders>
              <w:bottom w:val="single" w:sz="4" w:space="0" w:color="auto"/>
            </w:tcBorders>
          </w:tcPr>
          <w:p w:rsidR="00B85B9F" w:rsidRPr="00241F31" w:rsidRDefault="00B85B9F" w:rsidP="00F1243B">
            <w:pPr>
              <w:rPr>
                <w:lang w:val="en-US"/>
              </w:rPr>
            </w:pPr>
            <w:r w:rsidRPr="00241F31">
              <w:rPr>
                <w:lang w:val="en-US"/>
              </w:rPr>
              <w:t>21</w:t>
            </w:r>
          </w:p>
        </w:tc>
      </w:tr>
    </w:tbl>
    <w:p w:rsidR="00B85B9F" w:rsidRPr="00A250CB" w:rsidRDefault="00B85B9F">
      <w:pPr>
        <w:rPr>
          <w:lang w:val="en-US"/>
        </w:rPr>
      </w:pPr>
    </w:p>
    <w:p w:rsidR="00B85B9F" w:rsidRPr="00A250CB" w:rsidRDefault="00B85B9F">
      <w:pPr>
        <w:rPr>
          <w:lang w:val="en-US"/>
        </w:rPr>
      </w:pPr>
    </w:p>
    <w:p w:rsidR="00B85B9F" w:rsidRDefault="00B85B9F">
      <w:pPr>
        <w:rPr>
          <w:lang w:val="en-US"/>
        </w:rPr>
      </w:pPr>
    </w:p>
    <w:p w:rsidR="00B85B9F" w:rsidRDefault="00B85B9F">
      <w:pPr>
        <w:rPr>
          <w:lang w:val="en-US"/>
        </w:rPr>
      </w:pPr>
    </w:p>
    <w:p w:rsidR="00B85B9F" w:rsidRDefault="00B85B9F">
      <w:pPr>
        <w:rPr>
          <w:lang w:val="en-US"/>
        </w:rPr>
      </w:pPr>
    </w:p>
    <w:p w:rsidR="00B85B9F" w:rsidRDefault="00B85B9F">
      <w:pPr>
        <w:rPr>
          <w:lang w:val="en-US"/>
        </w:rPr>
      </w:pPr>
    </w:p>
    <w:p w:rsidR="00B85B9F" w:rsidRDefault="00B85B9F">
      <w:pPr>
        <w:rPr>
          <w:lang w:val="en-US"/>
        </w:rPr>
      </w:pPr>
    </w:p>
    <w:p w:rsidR="00B85B9F" w:rsidRPr="00A250CB" w:rsidRDefault="00B85B9F">
      <w:pPr>
        <w:rPr>
          <w:lang w:val="en-US"/>
        </w:rPr>
      </w:pPr>
      <w:r w:rsidRPr="00A250CB">
        <w:rPr>
          <w:lang w:val="en-US"/>
        </w:rPr>
        <w:t xml:space="preserve">Table </w:t>
      </w:r>
      <w:r>
        <w:rPr>
          <w:lang w:val="en-US"/>
        </w:rPr>
        <w:t>3</w:t>
      </w:r>
      <w:r w:rsidRPr="00A250CB">
        <w:rPr>
          <w:lang w:val="en-US"/>
        </w:rPr>
        <w:t xml:space="preserve">: Risk table for reclassified </w:t>
      </w:r>
      <w:r>
        <w:rPr>
          <w:lang w:val="en-US"/>
        </w:rPr>
        <w:t>persons</w:t>
      </w:r>
      <w:r w:rsidRPr="00A250CB">
        <w:rPr>
          <w:lang w:val="en-US"/>
        </w:rPr>
        <w:t xml:space="preserve"> </w:t>
      </w:r>
      <w:r>
        <w:rPr>
          <w:lang w:val="en-US"/>
        </w:rPr>
        <w:t>with the addition of HDL cholesterol, based on a</w:t>
      </w:r>
      <w:r w:rsidRPr="00A250CB">
        <w:rPr>
          <w:lang w:val="en-US"/>
        </w:rPr>
        <w:t xml:space="preserve"> &gt;20% </w:t>
      </w:r>
      <w:r>
        <w:rPr>
          <w:lang w:val="en-US"/>
        </w:rPr>
        <w:t xml:space="preserve">10-year CHD </w:t>
      </w:r>
      <w:r w:rsidRPr="00A250CB">
        <w:rPr>
          <w:lang w:val="en-US"/>
        </w:rPr>
        <w:t>risk</w:t>
      </w:r>
      <w:r>
        <w:rPr>
          <w:lang w:val="en-US"/>
        </w:rPr>
        <w:t xml:space="preserve"> threshold to define low and high risk</w:t>
      </w:r>
      <w:r w:rsidR="00D5222F">
        <w:rPr>
          <w:lang w:val="en-US"/>
        </w:rPr>
        <w:t xml:space="preserve">. </w:t>
      </w:r>
    </w:p>
    <w:p w:rsidR="00B85B9F" w:rsidRPr="00A250CB" w:rsidRDefault="00B85B9F">
      <w:pPr>
        <w:rPr>
          <w:lang w:val="en-US"/>
        </w:rPr>
      </w:pPr>
    </w:p>
    <w:tbl>
      <w:tblPr>
        <w:tblW w:w="0" w:type="auto"/>
        <w:tblBorders>
          <w:top w:val="single" w:sz="4" w:space="0" w:color="auto"/>
          <w:bottom w:val="single" w:sz="4" w:space="0" w:color="auto"/>
        </w:tblBorders>
        <w:tblLayout w:type="fixed"/>
        <w:tblLook w:val="00A0" w:firstRow="1" w:lastRow="0" w:firstColumn="1" w:lastColumn="0" w:noHBand="0" w:noVBand="0"/>
      </w:tblPr>
      <w:tblGrid>
        <w:gridCol w:w="1815"/>
        <w:gridCol w:w="1069"/>
        <w:gridCol w:w="1477"/>
        <w:gridCol w:w="850"/>
        <w:gridCol w:w="2268"/>
      </w:tblGrid>
      <w:tr w:rsidR="00B85B9F" w:rsidRPr="00241F31" w:rsidTr="00EE0606">
        <w:tc>
          <w:tcPr>
            <w:tcW w:w="1815" w:type="dxa"/>
            <w:tcBorders>
              <w:top w:val="single" w:sz="4" w:space="0" w:color="auto"/>
              <w:bottom w:val="single" w:sz="4" w:space="0" w:color="auto"/>
            </w:tcBorders>
          </w:tcPr>
          <w:p w:rsidR="00B85B9F" w:rsidRPr="00241F31" w:rsidRDefault="00B85B9F" w:rsidP="00F1243B">
            <w:pPr>
              <w:rPr>
                <w:lang w:val="en-US"/>
              </w:rPr>
            </w:pPr>
            <w:r w:rsidRPr="00241F31">
              <w:rPr>
                <w:lang w:val="en-US"/>
              </w:rPr>
              <w:t>Reclassification</w:t>
            </w:r>
          </w:p>
        </w:tc>
        <w:tc>
          <w:tcPr>
            <w:tcW w:w="1069" w:type="dxa"/>
            <w:tcBorders>
              <w:top w:val="single" w:sz="4" w:space="0" w:color="auto"/>
              <w:bottom w:val="single" w:sz="4" w:space="0" w:color="auto"/>
            </w:tcBorders>
          </w:tcPr>
          <w:p w:rsidR="00B85B9F" w:rsidRPr="00241F31" w:rsidRDefault="00B85B9F" w:rsidP="00F1243B">
            <w:pPr>
              <w:rPr>
                <w:lang w:val="en-US"/>
              </w:rPr>
            </w:pPr>
            <w:r w:rsidRPr="00241F31">
              <w:rPr>
                <w:lang w:val="en-US"/>
              </w:rPr>
              <w:t>Events</w:t>
            </w:r>
          </w:p>
        </w:tc>
        <w:tc>
          <w:tcPr>
            <w:tcW w:w="1477" w:type="dxa"/>
            <w:tcBorders>
              <w:top w:val="single" w:sz="4" w:space="0" w:color="auto"/>
              <w:bottom w:val="single" w:sz="4" w:space="0" w:color="auto"/>
            </w:tcBorders>
          </w:tcPr>
          <w:p w:rsidR="00B85B9F" w:rsidRPr="00241F31" w:rsidRDefault="00B85B9F" w:rsidP="00036802">
            <w:pPr>
              <w:rPr>
                <w:lang w:val="en-US"/>
              </w:rPr>
            </w:pPr>
            <w:r w:rsidRPr="00241F31">
              <w:rPr>
                <w:lang w:val="en-US"/>
              </w:rPr>
              <w:t>Non-events</w:t>
            </w:r>
          </w:p>
        </w:tc>
        <w:tc>
          <w:tcPr>
            <w:tcW w:w="850" w:type="dxa"/>
            <w:tcBorders>
              <w:top w:val="single" w:sz="4" w:space="0" w:color="auto"/>
              <w:bottom w:val="single" w:sz="4" w:space="0" w:color="auto"/>
            </w:tcBorders>
          </w:tcPr>
          <w:p w:rsidR="00B85B9F" w:rsidRPr="00241F31" w:rsidRDefault="00B85B9F" w:rsidP="00F1243B">
            <w:pPr>
              <w:rPr>
                <w:lang w:val="en-US"/>
              </w:rPr>
            </w:pPr>
            <w:r w:rsidRPr="00241F31">
              <w:rPr>
                <w:lang w:val="en-US"/>
              </w:rPr>
              <w:t>N</w:t>
            </w:r>
          </w:p>
        </w:tc>
        <w:tc>
          <w:tcPr>
            <w:tcW w:w="2268" w:type="dxa"/>
            <w:tcBorders>
              <w:top w:val="single" w:sz="4" w:space="0" w:color="auto"/>
              <w:bottom w:val="single" w:sz="4" w:space="0" w:color="auto"/>
            </w:tcBorders>
          </w:tcPr>
          <w:p w:rsidR="00B85B9F" w:rsidRPr="00241F31" w:rsidRDefault="00B85B9F" w:rsidP="00F1243B">
            <w:pPr>
              <w:rPr>
                <w:lang w:val="en-US"/>
              </w:rPr>
            </w:pPr>
            <w:r w:rsidRPr="00241F31">
              <w:rPr>
                <w:lang w:val="en-US"/>
              </w:rPr>
              <w:t>Risk</w:t>
            </w:r>
            <w:r w:rsidR="00D5222F">
              <w:rPr>
                <w:lang w:val="en-US"/>
              </w:rPr>
              <w:t xml:space="preserve"> [95% CI]</w:t>
            </w:r>
          </w:p>
        </w:tc>
      </w:tr>
      <w:tr w:rsidR="00B85B9F" w:rsidRPr="00241F31" w:rsidTr="00EE0606">
        <w:tc>
          <w:tcPr>
            <w:tcW w:w="1815" w:type="dxa"/>
            <w:tcBorders>
              <w:top w:val="single" w:sz="4" w:space="0" w:color="auto"/>
            </w:tcBorders>
          </w:tcPr>
          <w:p w:rsidR="00B85B9F" w:rsidRPr="00241F31" w:rsidRDefault="00B85B9F" w:rsidP="00F1243B">
            <w:pPr>
              <w:rPr>
                <w:lang w:val="en-US"/>
              </w:rPr>
            </w:pPr>
            <w:r w:rsidRPr="00241F31">
              <w:rPr>
                <w:lang w:val="en-US"/>
              </w:rPr>
              <w:t>Low-</w:t>
            </w:r>
            <w:r w:rsidR="00941C14">
              <w:rPr>
                <w:lang w:val="en-US"/>
              </w:rPr>
              <w:t>&gt;</w:t>
            </w:r>
            <w:r w:rsidRPr="00241F31">
              <w:rPr>
                <w:lang w:val="en-US"/>
              </w:rPr>
              <w:t>low</w:t>
            </w:r>
          </w:p>
        </w:tc>
        <w:tc>
          <w:tcPr>
            <w:tcW w:w="1069" w:type="dxa"/>
            <w:tcBorders>
              <w:top w:val="single" w:sz="4" w:space="0" w:color="auto"/>
            </w:tcBorders>
          </w:tcPr>
          <w:p w:rsidR="00B85B9F" w:rsidRPr="00241F31" w:rsidRDefault="00B85B9F" w:rsidP="00F1243B">
            <w:pPr>
              <w:rPr>
                <w:lang w:val="en-US"/>
              </w:rPr>
            </w:pPr>
            <w:r w:rsidRPr="00241F31">
              <w:rPr>
                <w:lang w:val="en-US"/>
              </w:rPr>
              <w:t>145</w:t>
            </w:r>
          </w:p>
        </w:tc>
        <w:tc>
          <w:tcPr>
            <w:tcW w:w="1477" w:type="dxa"/>
            <w:tcBorders>
              <w:top w:val="single" w:sz="4" w:space="0" w:color="auto"/>
            </w:tcBorders>
          </w:tcPr>
          <w:p w:rsidR="00B85B9F" w:rsidRPr="00241F31" w:rsidRDefault="00B85B9F" w:rsidP="00F1243B">
            <w:pPr>
              <w:rPr>
                <w:lang w:val="en-US"/>
              </w:rPr>
            </w:pPr>
            <w:r w:rsidRPr="00241F31">
              <w:rPr>
                <w:lang w:val="en-US"/>
              </w:rPr>
              <w:t>2952</w:t>
            </w:r>
          </w:p>
        </w:tc>
        <w:tc>
          <w:tcPr>
            <w:tcW w:w="850" w:type="dxa"/>
            <w:tcBorders>
              <w:top w:val="single" w:sz="4" w:space="0" w:color="auto"/>
            </w:tcBorders>
          </w:tcPr>
          <w:p w:rsidR="00B85B9F" w:rsidRPr="00241F31" w:rsidRDefault="00B85B9F" w:rsidP="00F1243B">
            <w:pPr>
              <w:rPr>
                <w:lang w:val="en-US"/>
              </w:rPr>
            </w:pPr>
            <w:r w:rsidRPr="00241F31">
              <w:rPr>
                <w:lang w:val="en-US"/>
              </w:rPr>
              <w:t>3097</w:t>
            </w:r>
          </w:p>
        </w:tc>
        <w:tc>
          <w:tcPr>
            <w:tcW w:w="2268" w:type="dxa"/>
            <w:tcBorders>
              <w:top w:val="single" w:sz="4" w:space="0" w:color="auto"/>
            </w:tcBorders>
          </w:tcPr>
          <w:p w:rsidR="00B85B9F" w:rsidRPr="00241F31" w:rsidRDefault="00B85B9F" w:rsidP="00F1243B">
            <w:pPr>
              <w:rPr>
                <w:lang w:val="en-US"/>
              </w:rPr>
            </w:pPr>
            <w:r w:rsidRPr="00241F31">
              <w:rPr>
                <w:lang w:val="en-US"/>
              </w:rPr>
              <w:t>4.7%</w:t>
            </w:r>
            <w:r w:rsidR="00D5222F">
              <w:rPr>
                <w:lang w:val="en-US"/>
              </w:rPr>
              <w:t xml:space="preserve"> [</w:t>
            </w:r>
            <w:r w:rsidR="00623D22">
              <w:rPr>
                <w:lang w:val="en-US"/>
              </w:rPr>
              <w:t>4.0-5.5%]</w:t>
            </w:r>
          </w:p>
        </w:tc>
      </w:tr>
      <w:tr w:rsidR="00B85B9F" w:rsidRPr="00241F31" w:rsidTr="00EE0606">
        <w:tc>
          <w:tcPr>
            <w:tcW w:w="1815" w:type="dxa"/>
          </w:tcPr>
          <w:p w:rsidR="00B85B9F" w:rsidRPr="00241F31" w:rsidRDefault="00B85B9F" w:rsidP="00BE70A6">
            <w:pPr>
              <w:rPr>
                <w:lang w:val="en-US"/>
              </w:rPr>
            </w:pPr>
            <w:r w:rsidRPr="00241F31">
              <w:rPr>
                <w:lang w:val="en-US"/>
              </w:rPr>
              <w:t>High-</w:t>
            </w:r>
            <w:r w:rsidR="00941C14">
              <w:rPr>
                <w:lang w:val="en-US"/>
              </w:rPr>
              <w:t>&gt;</w:t>
            </w:r>
            <w:r w:rsidRPr="00241F31">
              <w:rPr>
                <w:lang w:val="en-US"/>
              </w:rPr>
              <w:t>Low</w:t>
            </w:r>
          </w:p>
        </w:tc>
        <w:tc>
          <w:tcPr>
            <w:tcW w:w="1069" w:type="dxa"/>
          </w:tcPr>
          <w:p w:rsidR="00B85B9F" w:rsidRPr="00241F31" w:rsidRDefault="00B85B9F" w:rsidP="00BE70A6">
            <w:pPr>
              <w:rPr>
                <w:lang w:val="en-US"/>
              </w:rPr>
            </w:pPr>
            <w:r w:rsidRPr="00241F31">
              <w:rPr>
                <w:lang w:val="en-US"/>
              </w:rPr>
              <w:t>3</w:t>
            </w:r>
          </w:p>
        </w:tc>
        <w:tc>
          <w:tcPr>
            <w:tcW w:w="1477" w:type="dxa"/>
          </w:tcPr>
          <w:p w:rsidR="00B85B9F" w:rsidRPr="00241F31" w:rsidRDefault="00B85B9F" w:rsidP="00BE70A6">
            <w:pPr>
              <w:rPr>
                <w:lang w:val="en-US"/>
              </w:rPr>
            </w:pPr>
            <w:r w:rsidRPr="00241F31">
              <w:rPr>
                <w:lang w:val="en-US"/>
              </w:rPr>
              <w:t>26</w:t>
            </w:r>
          </w:p>
        </w:tc>
        <w:tc>
          <w:tcPr>
            <w:tcW w:w="850" w:type="dxa"/>
          </w:tcPr>
          <w:p w:rsidR="00B85B9F" w:rsidRPr="00241F31" w:rsidRDefault="00B85B9F" w:rsidP="00BE70A6">
            <w:pPr>
              <w:rPr>
                <w:lang w:val="en-US"/>
              </w:rPr>
            </w:pPr>
            <w:r w:rsidRPr="00241F31">
              <w:rPr>
                <w:lang w:val="en-US"/>
              </w:rPr>
              <w:t>29</w:t>
            </w:r>
          </w:p>
        </w:tc>
        <w:tc>
          <w:tcPr>
            <w:tcW w:w="2268" w:type="dxa"/>
          </w:tcPr>
          <w:p w:rsidR="00B85B9F" w:rsidRPr="00241F31" w:rsidRDefault="00B85B9F" w:rsidP="00BE70A6">
            <w:pPr>
              <w:rPr>
                <w:lang w:val="en-US"/>
              </w:rPr>
            </w:pPr>
            <w:r w:rsidRPr="00241F31">
              <w:rPr>
                <w:lang w:val="en-US"/>
              </w:rPr>
              <w:t>10.3%</w:t>
            </w:r>
            <w:r w:rsidR="00623D22">
              <w:rPr>
                <w:lang w:val="en-US"/>
              </w:rPr>
              <w:t xml:space="preserve"> [2.7-28%]</w:t>
            </w:r>
          </w:p>
        </w:tc>
      </w:tr>
      <w:tr w:rsidR="00B85B9F" w:rsidRPr="00241F31" w:rsidTr="00EE0606">
        <w:tc>
          <w:tcPr>
            <w:tcW w:w="1815" w:type="dxa"/>
          </w:tcPr>
          <w:p w:rsidR="00B85B9F" w:rsidRPr="00241F31" w:rsidRDefault="00B85B9F" w:rsidP="00F1243B">
            <w:pPr>
              <w:rPr>
                <w:lang w:val="en-US"/>
              </w:rPr>
            </w:pPr>
            <w:r w:rsidRPr="00241F31">
              <w:rPr>
                <w:lang w:val="en-US"/>
              </w:rPr>
              <w:t>Low-</w:t>
            </w:r>
            <w:r w:rsidR="00941C14">
              <w:rPr>
                <w:lang w:val="en-US"/>
              </w:rPr>
              <w:t>&gt;</w:t>
            </w:r>
            <w:r w:rsidRPr="00241F31">
              <w:rPr>
                <w:lang w:val="en-US"/>
              </w:rPr>
              <w:t>High</w:t>
            </w:r>
          </w:p>
        </w:tc>
        <w:tc>
          <w:tcPr>
            <w:tcW w:w="1069" w:type="dxa"/>
          </w:tcPr>
          <w:p w:rsidR="00B85B9F" w:rsidRPr="00241F31" w:rsidRDefault="00B85B9F" w:rsidP="00F1243B">
            <w:pPr>
              <w:rPr>
                <w:lang w:val="en-US"/>
              </w:rPr>
            </w:pPr>
            <w:r w:rsidRPr="00241F31">
              <w:rPr>
                <w:lang w:val="en-US"/>
              </w:rPr>
              <w:t>14</w:t>
            </w:r>
          </w:p>
        </w:tc>
        <w:tc>
          <w:tcPr>
            <w:tcW w:w="1477" w:type="dxa"/>
          </w:tcPr>
          <w:p w:rsidR="00B85B9F" w:rsidRPr="00241F31" w:rsidRDefault="00B85B9F" w:rsidP="00F1243B">
            <w:pPr>
              <w:rPr>
                <w:lang w:val="en-US"/>
              </w:rPr>
            </w:pPr>
            <w:r w:rsidRPr="00241F31">
              <w:rPr>
                <w:lang w:val="en-US"/>
              </w:rPr>
              <w:t>31</w:t>
            </w:r>
          </w:p>
        </w:tc>
        <w:tc>
          <w:tcPr>
            <w:tcW w:w="850" w:type="dxa"/>
          </w:tcPr>
          <w:p w:rsidR="00B85B9F" w:rsidRPr="00241F31" w:rsidRDefault="00B85B9F" w:rsidP="00F1243B">
            <w:pPr>
              <w:rPr>
                <w:lang w:val="en-US"/>
              </w:rPr>
            </w:pPr>
            <w:r w:rsidRPr="00241F31">
              <w:rPr>
                <w:lang w:val="en-US"/>
              </w:rPr>
              <w:t>45</w:t>
            </w:r>
          </w:p>
        </w:tc>
        <w:tc>
          <w:tcPr>
            <w:tcW w:w="2268" w:type="dxa"/>
          </w:tcPr>
          <w:p w:rsidR="00B85B9F" w:rsidRPr="00241F31" w:rsidRDefault="00B85B9F" w:rsidP="00F1243B">
            <w:pPr>
              <w:rPr>
                <w:lang w:val="en-US"/>
              </w:rPr>
            </w:pPr>
            <w:r w:rsidRPr="00241F31">
              <w:rPr>
                <w:lang w:val="en-US"/>
              </w:rPr>
              <w:t>31.1%</w:t>
            </w:r>
            <w:r w:rsidR="00623D22">
              <w:rPr>
                <w:lang w:val="en-US"/>
              </w:rPr>
              <w:t xml:space="preserve"> [19-47%]</w:t>
            </w:r>
          </w:p>
        </w:tc>
      </w:tr>
      <w:tr w:rsidR="00B85B9F" w:rsidRPr="00241F31" w:rsidTr="00EE0606">
        <w:tc>
          <w:tcPr>
            <w:tcW w:w="1815" w:type="dxa"/>
          </w:tcPr>
          <w:p w:rsidR="00B85B9F" w:rsidRPr="00241F31" w:rsidRDefault="00B85B9F" w:rsidP="00BE70A6">
            <w:pPr>
              <w:rPr>
                <w:lang w:val="en-US"/>
              </w:rPr>
            </w:pPr>
            <w:r w:rsidRPr="00241F31">
              <w:rPr>
                <w:lang w:val="en-US"/>
              </w:rPr>
              <w:t>High-</w:t>
            </w:r>
            <w:r w:rsidR="00941C14">
              <w:rPr>
                <w:lang w:val="en-US"/>
              </w:rPr>
              <w:t>&gt;</w:t>
            </w:r>
            <w:r w:rsidRPr="00241F31">
              <w:rPr>
                <w:lang w:val="en-US"/>
              </w:rPr>
              <w:t>high</w:t>
            </w:r>
          </w:p>
        </w:tc>
        <w:tc>
          <w:tcPr>
            <w:tcW w:w="1069" w:type="dxa"/>
          </w:tcPr>
          <w:p w:rsidR="00B85B9F" w:rsidRPr="00241F31" w:rsidRDefault="00B85B9F" w:rsidP="00BE70A6">
            <w:pPr>
              <w:rPr>
                <w:lang w:val="en-US"/>
              </w:rPr>
            </w:pPr>
            <w:r w:rsidRPr="00241F31">
              <w:rPr>
                <w:lang w:val="en-US"/>
              </w:rPr>
              <w:t>21</w:t>
            </w:r>
          </w:p>
        </w:tc>
        <w:tc>
          <w:tcPr>
            <w:tcW w:w="1477" w:type="dxa"/>
          </w:tcPr>
          <w:p w:rsidR="00B85B9F" w:rsidRPr="00241F31" w:rsidRDefault="00B85B9F" w:rsidP="00BE70A6">
            <w:pPr>
              <w:rPr>
                <w:lang w:val="en-US"/>
              </w:rPr>
            </w:pPr>
            <w:r w:rsidRPr="00241F31">
              <w:rPr>
                <w:lang w:val="en-US"/>
              </w:rPr>
              <w:t>72</w:t>
            </w:r>
          </w:p>
        </w:tc>
        <w:tc>
          <w:tcPr>
            <w:tcW w:w="850" w:type="dxa"/>
          </w:tcPr>
          <w:p w:rsidR="00B85B9F" w:rsidRPr="00241F31" w:rsidRDefault="00B85B9F" w:rsidP="00BE70A6">
            <w:pPr>
              <w:rPr>
                <w:lang w:val="en-US"/>
              </w:rPr>
            </w:pPr>
            <w:r w:rsidRPr="00241F31">
              <w:rPr>
                <w:lang w:val="en-US"/>
              </w:rPr>
              <w:t>93</w:t>
            </w:r>
          </w:p>
        </w:tc>
        <w:tc>
          <w:tcPr>
            <w:tcW w:w="2268" w:type="dxa"/>
          </w:tcPr>
          <w:p w:rsidR="00B85B9F" w:rsidRPr="00241F31" w:rsidRDefault="00B85B9F" w:rsidP="00BE70A6">
            <w:pPr>
              <w:rPr>
                <w:lang w:val="en-US"/>
              </w:rPr>
            </w:pPr>
            <w:r w:rsidRPr="00241F31">
              <w:rPr>
                <w:lang w:val="en-US"/>
              </w:rPr>
              <w:t>22.6%</w:t>
            </w:r>
            <w:r w:rsidR="00623D22">
              <w:rPr>
                <w:lang w:val="en-US"/>
              </w:rPr>
              <w:t xml:space="preserve"> [15-33%]</w:t>
            </w:r>
          </w:p>
        </w:tc>
      </w:tr>
      <w:tr w:rsidR="00B85B9F" w:rsidRPr="00241F31" w:rsidTr="00EE0606">
        <w:tc>
          <w:tcPr>
            <w:tcW w:w="1815" w:type="dxa"/>
            <w:tcBorders>
              <w:bottom w:val="single" w:sz="4" w:space="0" w:color="auto"/>
            </w:tcBorders>
          </w:tcPr>
          <w:p w:rsidR="00B85B9F" w:rsidRPr="00241F31" w:rsidRDefault="00B85B9F" w:rsidP="00F1243B">
            <w:pPr>
              <w:rPr>
                <w:lang w:val="en-US"/>
              </w:rPr>
            </w:pPr>
            <w:r w:rsidRPr="00241F31">
              <w:rPr>
                <w:lang w:val="en-US"/>
              </w:rPr>
              <w:t>Total</w:t>
            </w:r>
          </w:p>
        </w:tc>
        <w:tc>
          <w:tcPr>
            <w:tcW w:w="1069" w:type="dxa"/>
            <w:tcBorders>
              <w:bottom w:val="single" w:sz="4" w:space="0" w:color="auto"/>
            </w:tcBorders>
          </w:tcPr>
          <w:p w:rsidR="00B85B9F" w:rsidRPr="00241F31" w:rsidRDefault="00B85B9F" w:rsidP="00F1243B">
            <w:pPr>
              <w:rPr>
                <w:lang w:val="en-US"/>
              </w:rPr>
            </w:pPr>
            <w:r w:rsidRPr="00241F31">
              <w:rPr>
                <w:lang w:val="en-US"/>
              </w:rPr>
              <w:t>183</w:t>
            </w:r>
          </w:p>
        </w:tc>
        <w:tc>
          <w:tcPr>
            <w:tcW w:w="1477" w:type="dxa"/>
            <w:tcBorders>
              <w:bottom w:val="single" w:sz="4" w:space="0" w:color="auto"/>
            </w:tcBorders>
          </w:tcPr>
          <w:p w:rsidR="00B85B9F" w:rsidRPr="00241F31" w:rsidRDefault="00B85B9F" w:rsidP="00F1243B">
            <w:pPr>
              <w:rPr>
                <w:lang w:val="en-US"/>
              </w:rPr>
            </w:pPr>
            <w:r w:rsidRPr="00241F31">
              <w:rPr>
                <w:lang w:val="en-US"/>
              </w:rPr>
              <w:t>3081</w:t>
            </w:r>
          </w:p>
        </w:tc>
        <w:tc>
          <w:tcPr>
            <w:tcW w:w="850" w:type="dxa"/>
            <w:tcBorders>
              <w:bottom w:val="single" w:sz="4" w:space="0" w:color="auto"/>
            </w:tcBorders>
          </w:tcPr>
          <w:p w:rsidR="00B85B9F" w:rsidRPr="00241F31" w:rsidRDefault="00B85B9F" w:rsidP="00F1243B">
            <w:pPr>
              <w:rPr>
                <w:lang w:val="en-US"/>
              </w:rPr>
            </w:pPr>
            <w:r w:rsidRPr="00241F31">
              <w:rPr>
                <w:lang w:val="en-US"/>
              </w:rPr>
              <w:t>3264</w:t>
            </w:r>
          </w:p>
        </w:tc>
        <w:tc>
          <w:tcPr>
            <w:tcW w:w="2268" w:type="dxa"/>
            <w:tcBorders>
              <w:bottom w:val="single" w:sz="4" w:space="0" w:color="auto"/>
            </w:tcBorders>
          </w:tcPr>
          <w:p w:rsidR="00B85B9F" w:rsidRPr="00241F31" w:rsidRDefault="00B85B9F" w:rsidP="00F1243B">
            <w:pPr>
              <w:rPr>
                <w:lang w:val="en-US"/>
              </w:rPr>
            </w:pPr>
            <w:r w:rsidRPr="00241F31">
              <w:rPr>
                <w:lang w:val="en-US"/>
              </w:rPr>
              <w:t>5.6%</w:t>
            </w:r>
          </w:p>
        </w:tc>
      </w:tr>
    </w:tbl>
    <w:p w:rsidR="00B85B9F" w:rsidRDefault="00B85B9F" w:rsidP="00F1243B">
      <w:pPr>
        <w:rPr>
          <w:lang w:val="en-US"/>
        </w:rPr>
      </w:pPr>
    </w:p>
    <w:p w:rsidR="00BE31EF" w:rsidRPr="00A250CB" w:rsidRDefault="00BE31EF" w:rsidP="00F1243B">
      <w:pPr>
        <w:rPr>
          <w:lang w:val="en-US"/>
        </w:rPr>
      </w:pPr>
      <w:r>
        <w:rPr>
          <w:lang w:val="en-US"/>
        </w:rPr>
        <w:t>95% CI: 95% confidence interval</w:t>
      </w:r>
    </w:p>
    <w:p w:rsidR="00B85B9F" w:rsidRPr="00A250CB" w:rsidRDefault="00B85B9F" w:rsidP="00F1243B">
      <w:pPr>
        <w:rPr>
          <w:lang w:val="en-US"/>
        </w:rPr>
      </w:pPr>
      <w:r>
        <w:rPr>
          <w:lang w:val="en-US"/>
        </w:rPr>
        <w:t xml:space="preserve">NRI, </w:t>
      </w:r>
      <w:r w:rsidRPr="00A250CB">
        <w:rPr>
          <w:rFonts w:ascii="Lucida Grande Greek" w:hAnsi="Lucida Grande Greek" w:cs="Lucida Grande Greek"/>
          <w:b/>
          <w:color w:val="000000"/>
          <w:lang w:val="en-US"/>
        </w:rPr>
        <w:t>Δ</w:t>
      </w:r>
      <w:r>
        <w:rPr>
          <w:lang w:val="en-US"/>
        </w:rPr>
        <w:t xml:space="preserve">NB, and </w:t>
      </w:r>
      <w:r w:rsidRPr="00A250CB">
        <w:rPr>
          <w:rFonts w:ascii="Lucida Grande Greek" w:hAnsi="Lucida Grande Greek" w:cs="Lucida Grande Greek"/>
          <w:b/>
          <w:color w:val="000000"/>
          <w:lang w:val="en-US"/>
        </w:rPr>
        <w:t>Δ</w:t>
      </w:r>
      <w:r>
        <w:rPr>
          <w:lang w:val="en-US"/>
        </w:rPr>
        <w:t xml:space="preserve">RU </w:t>
      </w:r>
      <w:r w:rsidRPr="00A250CB">
        <w:rPr>
          <w:lang w:val="en-US"/>
        </w:rPr>
        <w:t>calculation</w:t>
      </w:r>
      <w:r>
        <w:rPr>
          <w:lang w:val="en-US"/>
        </w:rPr>
        <w:t>s</w:t>
      </w:r>
      <w:r w:rsidRPr="00A250CB">
        <w:rPr>
          <w:lang w:val="en-US"/>
        </w:rPr>
        <w:t xml:space="preserve"> from Table </w:t>
      </w:r>
      <w:r>
        <w:rPr>
          <w:lang w:val="en-US"/>
        </w:rPr>
        <w:t>2</w:t>
      </w:r>
      <w:r w:rsidRPr="00A250CB">
        <w:rPr>
          <w:lang w:val="en-US"/>
        </w:rPr>
        <w:t xml:space="preserve"> and </w:t>
      </w:r>
      <w:r>
        <w:rPr>
          <w:lang w:val="en-US"/>
        </w:rPr>
        <w:t>T</w:t>
      </w:r>
      <w:r w:rsidRPr="00A250CB">
        <w:rPr>
          <w:lang w:val="en-US"/>
        </w:rPr>
        <w:t xml:space="preserve">able </w:t>
      </w:r>
      <w:r>
        <w:rPr>
          <w:lang w:val="en-US"/>
        </w:rPr>
        <w:t>3</w:t>
      </w:r>
      <w:r w:rsidRPr="00A250CB">
        <w:rPr>
          <w:lang w:val="en-US"/>
        </w:rPr>
        <w:t xml:space="preserve">: </w:t>
      </w:r>
    </w:p>
    <w:p w:rsidR="00B85B9F" w:rsidRPr="00A250CB" w:rsidRDefault="00B85B9F" w:rsidP="00F1243B">
      <w:pPr>
        <w:rPr>
          <w:lang w:val="en-US"/>
        </w:rPr>
      </w:pPr>
      <w:r w:rsidRPr="00A250CB">
        <w:rPr>
          <w:lang w:val="en-US"/>
        </w:rPr>
        <w:t xml:space="preserve">NRI events = </w:t>
      </w:r>
      <w:r>
        <w:rPr>
          <w:lang w:val="en-US"/>
        </w:rPr>
        <w:t>(</w:t>
      </w:r>
      <w:r w:rsidRPr="00A250CB">
        <w:rPr>
          <w:lang w:val="en-US"/>
        </w:rPr>
        <w:t>14-3</w:t>
      </w:r>
      <w:r>
        <w:rPr>
          <w:lang w:val="en-US"/>
        </w:rPr>
        <w:t>)/</w:t>
      </w:r>
      <w:r w:rsidRPr="00A250CB">
        <w:rPr>
          <w:lang w:val="en-US"/>
        </w:rPr>
        <w:t xml:space="preserve"> 183  = 6.0%</w:t>
      </w:r>
    </w:p>
    <w:p w:rsidR="00B85B9F" w:rsidRDefault="00B85B9F" w:rsidP="00F1243B">
      <w:pPr>
        <w:rPr>
          <w:lang w:val="en-US"/>
        </w:rPr>
      </w:pPr>
      <w:r w:rsidRPr="00A250CB">
        <w:rPr>
          <w:lang w:val="en-US"/>
        </w:rPr>
        <w:t>NRI non</w:t>
      </w:r>
      <w:r>
        <w:rPr>
          <w:lang w:val="en-US"/>
        </w:rPr>
        <w:t>-</w:t>
      </w:r>
      <w:r w:rsidRPr="00A250CB">
        <w:rPr>
          <w:lang w:val="en-US"/>
        </w:rPr>
        <w:t xml:space="preserve">events = </w:t>
      </w:r>
      <w:r>
        <w:rPr>
          <w:lang w:val="en-US"/>
        </w:rPr>
        <w:t>(</w:t>
      </w:r>
      <w:r w:rsidRPr="00A250CB">
        <w:rPr>
          <w:lang w:val="en-US"/>
        </w:rPr>
        <w:t>26 – 31</w:t>
      </w:r>
      <w:r>
        <w:rPr>
          <w:lang w:val="en-US"/>
        </w:rPr>
        <w:t>)</w:t>
      </w:r>
      <w:r w:rsidRPr="00A250CB">
        <w:rPr>
          <w:lang w:val="en-US"/>
        </w:rPr>
        <w:t xml:space="preserve"> </w:t>
      </w:r>
      <w:r>
        <w:rPr>
          <w:lang w:val="en-US"/>
        </w:rPr>
        <w:t>/</w:t>
      </w:r>
      <w:r w:rsidRPr="00A250CB">
        <w:rPr>
          <w:lang w:val="en-US"/>
        </w:rPr>
        <w:t>3081 = –0.2%</w:t>
      </w:r>
    </w:p>
    <w:p w:rsidR="00B85B9F" w:rsidRPr="00A250CB" w:rsidRDefault="00B85B9F" w:rsidP="00F1243B">
      <w:pPr>
        <w:rPr>
          <w:lang w:val="en-US"/>
        </w:rPr>
      </w:pPr>
      <w:r>
        <w:rPr>
          <w:lang w:val="en-US"/>
        </w:rPr>
        <w:t>NRI = [(14-3)/183]+[(26-31)/3081] = 6.0% + -0.2% = 0.058</w:t>
      </w:r>
    </w:p>
    <w:p w:rsidR="00B85B9F" w:rsidRDefault="00B85B9F" w:rsidP="00F1243B">
      <w:pPr>
        <w:rPr>
          <w:lang w:val="en-US"/>
        </w:rPr>
      </w:pPr>
      <w:r w:rsidRPr="00A250CB">
        <w:rPr>
          <w:rFonts w:ascii="Lucida Grande Greek" w:hAnsi="Lucida Grande Greek" w:cs="Lucida Grande Greek"/>
          <w:b/>
          <w:color w:val="000000"/>
          <w:lang w:val="en-US"/>
        </w:rPr>
        <w:t>Δ</w:t>
      </w:r>
      <w:r w:rsidRPr="00A250CB">
        <w:rPr>
          <w:lang w:val="en-US"/>
        </w:rPr>
        <w:t>NB = (11 - 0.25*5) / 3264 = 0.003</w:t>
      </w:r>
    </w:p>
    <w:p w:rsidR="00B85B9F" w:rsidRDefault="00B85B9F" w:rsidP="00992A80">
      <w:pPr>
        <w:rPr>
          <w:lang w:val="en-US"/>
        </w:rPr>
      </w:pPr>
      <w:r w:rsidRPr="00A250CB">
        <w:rPr>
          <w:rFonts w:ascii="Lucida Grande Greek" w:hAnsi="Lucida Grande Greek" w:cs="Lucida Grande Greek"/>
          <w:b/>
          <w:color w:val="000000"/>
          <w:lang w:val="en-US"/>
        </w:rPr>
        <w:t>Δ</w:t>
      </w:r>
      <w:r>
        <w:rPr>
          <w:lang w:val="en-US"/>
        </w:rPr>
        <w:t xml:space="preserve">RU= </w:t>
      </w:r>
      <w:r w:rsidRPr="00A250CB">
        <w:rPr>
          <w:lang w:val="en-US"/>
        </w:rPr>
        <w:t xml:space="preserve">(11 - 0.25*5) / </w:t>
      </w:r>
      <w:r>
        <w:rPr>
          <w:lang w:val="en-US"/>
        </w:rPr>
        <w:t>183</w:t>
      </w:r>
      <w:r w:rsidRPr="00A250CB">
        <w:rPr>
          <w:lang w:val="en-US"/>
        </w:rPr>
        <w:t xml:space="preserve"> = 0.</w:t>
      </w:r>
      <w:r>
        <w:rPr>
          <w:lang w:val="en-US"/>
        </w:rPr>
        <w:t>05</w:t>
      </w:r>
      <w:r w:rsidRPr="00A250CB">
        <w:rPr>
          <w:lang w:val="en-US"/>
        </w:rPr>
        <w:t>3</w:t>
      </w:r>
    </w:p>
    <w:p w:rsidR="00B85B9F" w:rsidRPr="00A250CB" w:rsidRDefault="00B85B9F" w:rsidP="00F1243B">
      <w:pPr>
        <w:rPr>
          <w:lang w:val="en-US"/>
        </w:rPr>
      </w:pPr>
    </w:p>
    <w:p w:rsidR="00B85B9F" w:rsidRPr="00A250CB" w:rsidRDefault="00B85B9F" w:rsidP="00F1243B">
      <w:pPr>
        <w:rPr>
          <w:lang w:val="en-US"/>
        </w:rPr>
      </w:pPr>
    </w:p>
    <w:p w:rsidR="00B85B9F" w:rsidRPr="00A250CB" w:rsidRDefault="00B85B9F" w:rsidP="00F1243B">
      <w:pPr>
        <w:rPr>
          <w:lang w:val="en-US"/>
        </w:rPr>
      </w:pPr>
    </w:p>
    <w:p w:rsidR="00B85B9F" w:rsidRPr="00A250CB" w:rsidRDefault="00B85B9F" w:rsidP="00FC2DD4">
      <w:pPr>
        <w:rPr>
          <w:lang w:val="en-US"/>
        </w:rPr>
        <w:sectPr w:rsidR="00B85B9F" w:rsidRPr="00A250CB" w:rsidSect="006B568D">
          <w:pgSz w:w="11900" w:h="16840"/>
          <w:pgMar w:top="1440" w:right="1800" w:bottom="1440" w:left="1800" w:header="708" w:footer="708" w:gutter="0"/>
          <w:cols w:space="708"/>
          <w:docGrid w:linePitch="360"/>
        </w:sectPr>
      </w:pPr>
    </w:p>
    <w:p w:rsidR="00B85B9F" w:rsidRPr="00A250CB" w:rsidRDefault="00B85B9F" w:rsidP="00F1243B">
      <w:pPr>
        <w:rPr>
          <w:lang w:val="en-US"/>
        </w:rPr>
      </w:pPr>
    </w:p>
    <w:p w:rsidR="00B85B9F" w:rsidRPr="00A250CB" w:rsidRDefault="00CE0418" w:rsidP="00080103">
      <w:pPr>
        <w:ind w:left="1418" w:hanging="1418"/>
        <w:rPr>
          <w:lang w:val="en-US"/>
        </w:rPr>
      </w:pPr>
      <w:r>
        <w:rPr>
          <w:noProof/>
          <w:lang w:eastAsia="nl-NL"/>
        </w:rPr>
        <mc:AlternateContent>
          <mc:Choice Requires="wps">
            <w:drawing>
              <wp:anchor distT="4294967294" distB="4294967294" distL="114300" distR="114300" simplePos="0" relativeHeight="251658240" behindDoc="0" locked="0" layoutInCell="1" allowOverlap="1" wp14:anchorId="5B0E8C9D" wp14:editId="583548C9">
                <wp:simplePos x="0" y="0"/>
                <wp:positionH relativeFrom="column">
                  <wp:posOffset>3543300</wp:posOffset>
                </wp:positionH>
                <wp:positionV relativeFrom="paragraph">
                  <wp:posOffset>507364</wp:posOffset>
                </wp:positionV>
                <wp:extent cx="228600" cy="0"/>
                <wp:effectExtent l="50800" t="50800" r="76200" b="127000"/>
                <wp:wrapNone/>
                <wp:docPr id="8" name="Straight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25400">
                          <a:solidFill>
                            <a:srgbClr val="000000"/>
                          </a:solidFill>
                          <a:round/>
                          <a:headEnd/>
                          <a:tailEnd/>
                        </a:ln>
                        <a:effectLst>
                          <a:outerShdw blurRad="63500" dist="20000" dir="5400000" rotWithShape="0">
                            <a:srgbClr val="000000">
                              <a:alpha val="37999"/>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line id="Straight Connector 10" o:spid="_x0000_s1026" style="position:absolute;z-index:251658240;visibility:visible;mso-wrap-style:square;mso-width-percent:0;mso-height-percent:0;mso-wrap-distance-left:9pt;mso-wrap-distance-top:-2emu;mso-wrap-distance-right:9pt;mso-wrap-distance-bottom:-2emu;mso-position-horizontal:absolute;mso-position-horizontal-relative:text;mso-position-vertical:absolute;mso-position-vertical-relative:text;mso-width-percent:0;mso-height-percent:0;mso-width-relative:page;mso-height-relative:page" from="279pt,39.95pt" to="297pt,39.9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" strokeweight="2pt">
                <v:shadow on="t" opacity="24903f" origin=",.5" offset="0,20000emu"/>
              </v:line>
            </w:pict>
          </mc:Fallback>
        </mc:AlternateContent>
      </w:r>
      <w:r w:rsidR="00B85B9F" w:rsidRPr="00A250CB">
        <w:rPr>
          <w:lang w:val="en-US"/>
        </w:rPr>
        <w:t>Figure 1</w:t>
      </w:r>
      <w:r w:rsidR="00B85B9F" w:rsidRPr="00A250CB">
        <w:rPr>
          <w:lang w:val="en-US"/>
        </w:rPr>
        <w:tab/>
        <w:t xml:space="preserve">Density plots of </w:t>
      </w:r>
      <w:proofErr w:type="spellStart"/>
      <w:r w:rsidR="00B85B9F" w:rsidRPr="00A250CB">
        <w:rPr>
          <w:lang w:val="en-US"/>
        </w:rPr>
        <w:t>logodds</w:t>
      </w:r>
      <w:proofErr w:type="spellEnd"/>
      <w:r w:rsidR="00B85B9F" w:rsidRPr="00A250CB">
        <w:rPr>
          <w:lang w:val="en-US"/>
        </w:rPr>
        <w:t xml:space="preserve"> of predicted</w:t>
      </w:r>
      <w:r w:rsidR="00B85B9F">
        <w:rPr>
          <w:lang w:val="en-US"/>
        </w:rPr>
        <w:t xml:space="preserve"> 10-year CHD</w:t>
      </w:r>
      <w:r w:rsidR="00B85B9F" w:rsidRPr="00A250CB">
        <w:rPr>
          <w:lang w:val="en-US"/>
        </w:rPr>
        <w:t xml:space="preserve"> risks (‘linear predictor’) for non-events and events in 3264 </w:t>
      </w:r>
      <w:r w:rsidR="00B85B9F">
        <w:rPr>
          <w:lang w:val="en-US"/>
        </w:rPr>
        <w:t>participants</w:t>
      </w:r>
      <w:r w:rsidR="00B85B9F" w:rsidRPr="00A250CB">
        <w:rPr>
          <w:lang w:val="en-US"/>
        </w:rPr>
        <w:t xml:space="preserve"> from the Framingham </w:t>
      </w:r>
      <w:r w:rsidR="00B85B9F">
        <w:rPr>
          <w:lang w:val="en-US"/>
        </w:rPr>
        <w:t>Heart S</w:t>
      </w:r>
      <w:r w:rsidR="00B85B9F" w:rsidRPr="00A250CB">
        <w:rPr>
          <w:lang w:val="en-US"/>
        </w:rPr>
        <w:t xml:space="preserve">tudy. Solid line          : </w:t>
      </w:r>
      <w:r w:rsidR="00B85B9F">
        <w:rPr>
          <w:lang w:val="en-US"/>
        </w:rPr>
        <w:t>distribution of linear predictor</w:t>
      </w:r>
      <w:r w:rsidR="00B85B9F" w:rsidRPr="00A250CB">
        <w:rPr>
          <w:lang w:val="en-US"/>
        </w:rPr>
        <w:t xml:space="preserve"> without HDL</w:t>
      </w:r>
      <w:r w:rsidR="00B85B9F" w:rsidRPr="00295F9F">
        <w:rPr>
          <w:lang w:val="en-US"/>
        </w:rPr>
        <w:t xml:space="preserve"> </w:t>
      </w:r>
      <w:r w:rsidR="00B85B9F">
        <w:rPr>
          <w:lang w:val="en-US"/>
        </w:rPr>
        <w:t>cholesterol</w:t>
      </w:r>
      <w:r w:rsidR="00B85B9F" w:rsidRPr="00A250CB">
        <w:rPr>
          <w:lang w:val="en-US"/>
        </w:rPr>
        <w:t xml:space="preserve">; dotted line ---: </w:t>
      </w:r>
      <w:r w:rsidR="00B85B9F">
        <w:rPr>
          <w:lang w:val="en-US"/>
        </w:rPr>
        <w:t>distribution of linear predictor</w:t>
      </w:r>
      <w:r w:rsidR="00B85B9F" w:rsidRPr="00A250CB">
        <w:rPr>
          <w:lang w:val="en-US"/>
        </w:rPr>
        <w:t xml:space="preserve"> with HDL</w:t>
      </w:r>
      <w:r w:rsidR="00B85B9F" w:rsidRPr="00295F9F">
        <w:rPr>
          <w:lang w:val="en-US"/>
        </w:rPr>
        <w:t xml:space="preserve"> </w:t>
      </w:r>
      <w:r w:rsidR="00B85B9F">
        <w:rPr>
          <w:lang w:val="en-US"/>
        </w:rPr>
        <w:t>cholesterol</w:t>
      </w:r>
      <w:r w:rsidR="00B85B9F" w:rsidRPr="00A250CB">
        <w:rPr>
          <w:lang w:val="en-US"/>
        </w:rPr>
        <w:t>.</w:t>
      </w:r>
    </w:p>
    <w:p w:rsidR="00B85B9F" w:rsidRPr="00A250CB" w:rsidRDefault="00B85B9F">
      <w:pPr>
        <w:rPr>
          <w:lang w:val="en-US"/>
        </w:rPr>
      </w:pPr>
    </w:p>
    <w:p w:rsidR="00B85B9F" w:rsidRPr="00A250CB" w:rsidRDefault="000673BB">
      <w:pPr>
        <w:rPr>
          <w:lang w:val="en-US"/>
        </w:rPr>
      </w:pPr>
      <w:r>
        <w:rPr>
          <w:noProof/>
          <w:lang w:eastAsia="nl-NL"/>
        </w:rPr>
        <w:drawing>
          <wp:inline distT="0" distB="0" distL="0" distR="0" wp14:anchorId="358AC4B8" wp14:editId="717C532A">
            <wp:extent cx="5270500" cy="3223895"/>
            <wp:effectExtent l="0" t="0" r="12700" b="190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 1 densities.tiff"/>
                    <pic:cNvPicPr/>
                  </pic:nvPicPr>
                  <pic:blipFill>
                    <a:blip r:embed="rId10">
                      <a:extLst>
                        <a:ext uri="{28A0092B-C50C-407E-A947-70E740481C1C}">
                          <a14:useLocalDpi xmlns:a14="http://schemas.microsoft.com/office/drawing/2010/main" val="0"/>
                        </a:ext>
                      </a:extLst>
                    </a:blip>
                    <a:stretch>
                      <a:fillRect/>
                    </a:stretch>
                  </pic:blipFill>
                  <pic:spPr>
                    <a:xfrm>
                      <a:off x="0" y="0"/>
                      <a:ext cx="5270500" cy="3223895"/>
                    </a:xfrm>
                    <a:prstGeom prst="rect">
                      <a:avLst/>
                    </a:prstGeom>
                  </pic:spPr>
                </pic:pic>
              </a:graphicData>
            </a:graphic>
          </wp:inline>
        </w:drawing>
      </w:r>
    </w:p>
    <w:p w:rsidR="00B85B9F" w:rsidRPr="00A250CB" w:rsidRDefault="00B85B9F">
      <w:pPr>
        <w:rPr>
          <w:lang w:val="en-US"/>
        </w:rPr>
      </w:pPr>
    </w:p>
    <w:p w:rsidR="00B85B9F" w:rsidRPr="00A250CB" w:rsidRDefault="00B85B9F">
      <w:pPr>
        <w:rPr>
          <w:lang w:val="en-US"/>
        </w:rPr>
      </w:pPr>
    </w:p>
    <w:p w:rsidR="00B85B9F" w:rsidRPr="00A250CB" w:rsidRDefault="00B85B9F">
      <w:pPr>
        <w:rPr>
          <w:lang w:val="en-US"/>
        </w:rPr>
      </w:pPr>
      <w:r w:rsidRPr="00A250CB">
        <w:rPr>
          <w:lang w:val="en-US"/>
        </w:rPr>
        <w:br w:type="page"/>
      </w:r>
    </w:p>
    <w:p w:rsidR="00B85B9F" w:rsidRPr="00A250CB" w:rsidRDefault="00B85B9F" w:rsidP="00D67426">
      <w:pPr>
        <w:ind w:left="1418" w:hanging="1418"/>
        <w:rPr>
          <w:lang w:val="en-US"/>
        </w:rPr>
      </w:pPr>
      <w:r w:rsidRPr="00A250CB">
        <w:rPr>
          <w:lang w:val="en-US"/>
        </w:rPr>
        <w:lastRenderedPageBreak/>
        <w:t>Figure 2</w:t>
      </w:r>
      <w:r w:rsidRPr="00A250CB">
        <w:rPr>
          <w:lang w:val="en-US"/>
        </w:rPr>
        <w:tab/>
        <w:t xml:space="preserve">Box plots of predicted </w:t>
      </w:r>
      <w:r>
        <w:rPr>
          <w:lang w:val="en-US"/>
        </w:rPr>
        <w:t>10-year CHD risks for</w:t>
      </w:r>
      <w:r w:rsidR="000673BB">
        <w:rPr>
          <w:lang w:val="en-US"/>
        </w:rPr>
        <w:t xml:space="preserve"> patients without and with a CHD </w:t>
      </w:r>
      <w:r>
        <w:rPr>
          <w:lang w:val="en-US"/>
        </w:rPr>
        <w:t xml:space="preserve">event </w:t>
      </w:r>
      <w:r w:rsidRPr="00A250CB">
        <w:rPr>
          <w:lang w:val="en-US"/>
        </w:rPr>
        <w:t xml:space="preserve">in 3264 </w:t>
      </w:r>
      <w:r>
        <w:rPr>
          <w:lang w:val="en-US"/>
        </w:rPr>
        <w:t>participants</w:t>
      </w:r>
      <w:r w:rsidRPr="00A250CB">
        <w:rPr>
          <w:lang w:val="en-US"/>
        </w:rPr>
        <w:t xml:space="preserve"> from the Framingham </w:t>
      </w:r>
      <w:r>
        <w:rPr>
          <w:lang w:val="en-US"/>
        </w:rPr>
        <w:t>Heart S</w:t>
      </w:r>
      <w:r w:rsidRPr="00A250CB">
        <w:rPr>
          <w:lang w:val="en-US"/>
        </w:rPr>
        <w:t>tudy</w:t>
      </w:r>
      <w:r>
        <w:rPr>
          <w:lang w:val="en-US"/>
        </w:rPr>
        <w:t xml:space="preserve"> for the model without HDL and with HDL</w:t>
      </w:r>
      <w:r w:rsidRPr="00A250CB">
        <w:rPr>
          <w:lang w:val="en-US"/>
        </w:rPr>
        <w:t>.</w:t>
      </w:r>
    </w:p>
    <w:p w:rsidR="00B85B9F" w:rsidRPr="00A250CB" w:rsidRDefault="000673BB" w:rsidP="007A03DA">
      <w:pPr>
        <w:rPr>
          <w:lang w:val="en-US"/>
        </w:rPr>
      </w:pPr>
      <w:r>
        <w:rPr>
          <w:noProof/>
          <w:lang w:eastAsia="nl-NL"/>
        </w:rPr>
        <w:drawing>
          <wp:inline distT="0" distB="0" distL="0" distR="0" wp14:anchorId="5BABF3DA" wp14:editId="23822D38">
            <wp:extent cx="5270500" cy="4657090"/>
            <wp:effectExtent l="0" t="0" r="1270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 Boxplots.tiff"/>
                    <pic:cNvPicPr/>
                  </pic:nvPicPr>
                  <pic:blipFill>
                    <a:blip r:embed="rId11">
                      <a:extLst>
                        <a:ext uri="{28A0092B-C50C-407E-A947-70E740481C1C}">
                          <a14:useLocalDpi xmlns:a14="http://schemas.microsoft.com/office/drawing/2010/main" val="0"/>
                        </a:ext>
                      </a:extLst>
                    </a:blip>
                    <a:stretch>
                      <a:fillRect/>
                    </a:stretch>
                  </pic:blipFill>
                  <pic:spPr>
                    <a:xfrm>
                      <a:off x="0" y="0"/>
                      <a:ext cx="5270500" cy="4657090"/>
                    </a:xfrm>
                    <a:prstGeom prst="rect">
                      <a:avLst/>
                    </a:prstGeom>
                  </pic:spPr>
                </pic:pic>
              </a:graphicData>
            </a:graphic>
          </wp:inline>
        </w:drawing>
      </w:r>
    </w:p>
    <w:p w:rsidR="00B85B9F" w:rsidRPr="00A250CB" w:rsidRDefault="00B85B9F" w:rsidP="007A03DA">
      <w:pPr>
        <w:rPr>
          <w:lang w:val="en-US"/>
        </w:rPr>
      </w:pPr>
    </w:p>
    <w:p w:rsidR="00B85B9F" w:rsidRPr="00A250CB" w:rsidRDefault="00B85B9F" w:rsidP="007A03DA">
      <w:pPr>
        <w:rPr>
          <w:lang w:val="en-US"/>
        </w:rPr>
      </w:pPr>
    </w:p>
    <w:p w:rsidR="00B85B9F" w:rsidRPr="00A250CB" w:rsidRDefault="00B85B9F" w:rsidP="007A03DA">
      <w:pPr>
        <w:rPr>
          <w:lang w:val="en-US"/>
        </w:rPr>
      </w:pPr>
    </w:p>
    <w:p w:rsidR="00B85B9F" w:rsidRPr="00A250CB" w:rsidRDefault="00B85B9F">
      <w:pPr>
        <w:rPr>
          <w:lang w:val="en-US"/>
        </w:rPr>
      </w:pPr>
      <w:r w:rsidRPr="00A250CB">
        <w:rPr>
          <w:lang w:val="en-US"/>
        </w:rPr>
        <w:br w:type="page"/>
      </w:r>
    </w:p>
    <w:p w:rsidR="000673BB" w:rsidRDefault="000673BB" w:rsidP="00FC6DAB">
      <w:pPr>
        <w:ind w:left="1418" w:hanging="1418"/>
        <w:rPr>
          <w:lang w:val="en-US"/>
        </w:rPr>
      </w:pPr>
      <w:r w:rsidRPr="00A250CB">
        <w:rPr>
          <w:lang w:val="en-US"/>
        </w:rPr>
        <w:lastRenderedPageBreak/>
        <w:t xml:space="preserve">Figure </w:t>
      </w:r>
      <w:r>
        <w:rPr>
          <w:lang w:val="en-US"/>
        </w:rPr>
        <w:t>3</w:t>
      </w:r>
      <w:r w:rsidRPr="00A250CB">
        <w:rPr>
          <w:lang w:val="en-US"/>
        </w:rPr>
        <w:tab/>
      </w:r>
      <w:proofErr w:type="spellStart"/>
      <w:r>
        <w:rPr>
          <w:lang w:val="en-US"/>
        </w:rPr>
        <w:t>Predictiveness</w:t>
      </w:r>
      <w:proofErr w:type="spellEnd"/>
      <w:r w:rsidRPr="00A250CB">
        <w:rPr>
          <w:lang w:val="en-US"/>
        </w:rPr>
        <w:t xml:space="preserve"> curves</w:t>
      </w:r>
      <w:r>
        <w:rPr>
          <w:lang w:val="en-US"/>
        </w:rPr>
        <w:t xml:space="preserve"> </w:t>
      </w:r>
      <w:r w:rsidR="00F36BB7">
        <w:rPr>
          <w:lang w:val="en-US"/>
        </w:rPr>
        <w:t>for CHD events</w:t>
      </w:r>
      <w:r w:rsidR="00FC6DAB">
        <w:rPr>
          <w:lang w:val="en-US"/>
        </w:rPr>
        <w:t xml:space="preserve"> i</w:t>
      </w:r>
      <w:r w:rsidR="008801E3" w:rsidRPr="00A250CB">
        <w:rPr>
          <w:lang w:val="en-US"/>
        </w:rPr>
        <w:t xml:space="preserve">n 3264 </w:t>
      </w:r>
      <w:r w:rsidR="008801E3">
        <w:rPr>
          <w:lang w:val="en-US"/>
        </w:rPr>
        <w:t>participants</w:t>
      </w:r>
      <w:r w:rsidR="008801E3" w:rsidRPr="00A250CB">
        <w:rPr>
          <w:lang w:val="en-US"/>
        </w:rPr>
        <w:t xml:space="preserve"> from the Framingham </w:t>
      </w:r>
      <w:r w:rsidR="008801E3">
        <w:rPr>
          <w:lang w:val="en-US"/>
        </w:rPr>
        <w:t>Heart S</w:t>
      </w:r>
      <w:r w:rsidR="008801E3" w:rsidRPr="00A250CB">
        <w:rPr>
          <w:lang w:val="en-US"/>
        </w:rPr>
        <w:t>tudy.</w:t>
      </w:r>
      <w:r w:rsidR="008801E3">
        <w:rPr>
          <w:lang w:val="en-US"/>
        </w:rPr>
        <w:t xml:space="preserve"> </w:t>
      </w:r>
      <w:r w:rsidR="00FC6DAB">
        <w:rPr>
          <w:lang w:val="en-US"/>
        </w:rPr>
        <w:t xml:space="preserve">The horizontal lines indicate the event rate (5.6%). </w:t>
      </w:r>
      <w:r w:rsidR="008801E3">
        <w:rPr>
          <w:lang w:val="en-US"/>
        </w:rPr>
        <w:t xml:space="preserve">The </w:t>
      </w:r>
      <w:r w:rsidR="00FC6DAB">
        <w:rPr>
          <w:lang w:val="en-US"/>
        </w:rPr>
        <w:t xml:space="preserve">vertical lines indicate the </w:t>
      </w:r>
      <w:r w:rsidR="008801E3">
        <w:rPr>
          <w:lang w:val="en-US"/>
        </w:rPr>
        <w:t>20% decision threshold</w:t>
      </w:r>
      <w:r w:rsidR="00FC6DAB">
        <w:rPr>
          <w:lang w:val="en-US"/>
        </w:rPr>
        <w:t>,</w:t>
      </w:r>
      <w:r w:rsidR="00781360">
        <w:rPr>
          <w:lang w:val="en-US"/>
        </w:rPr>
        <w:t xml:space="preserve"> which leads to similar specificity (</w:t>
      </w:r>
      <w:r w:rsidR="00B31B05">
        <w:rPr>
          <w:lang w:val="en-US"/>
        </w:rPr>
        <w:t>96.82</w:t>
      </w:r>
      <w:r w:rsidR="00781360">
        <w:rPr>
          <w:lang w:val="en-US"/>
        </w:rPr>
        <w:t>% and 96.</w:t>
      </w:r>
      <w:r w:rsidR="00B31B05">
        <w:rPr>
          <w:lang w:val="en-US"/>
        </w:rPr>
        <w:t>66</w:t>
      </w:r>
      <w:r w:rsidR="00781360">
        <w:rPr>
          <w:lang w:val="en-US"/>
        </w:rPr>
        <w:t xml:space="preserve">%) but higher sensitivity (13.1% and 19.1%) for the models </w:t>
      </w:r>
      <w:r w:rsidR="00781360" w:rsidRPr="00A250CB">
        <w:rPr>
          <w:lang w:val="en-US"/>
        </w:rPr>
        <w:t>without</w:t>
      </w:r>
      <w:r w:rsidR="00781360">
        <w:rPr>
          <w:lang w:val="en-US"/>
        </w:rPr>
        <w:t xml:space="preserve"> and with </w:t>
      </w:r>
      <w:r w:rsidR="00781360" w:rsidRPr="00A250CB">
        <w:rPr>
          <w:lang w:val="en-US"/>
        </w:rPr>
        <w:t>HDL</w:t>
      </w:r>
      <w:r w:rsidR="00781360">
        <w:rPr>
          <w:lang w:val="en-US"/>
        </w:rPr>
        <w:t xml:space="preserve"> </w:t>
      </w:r>
      <w:r w:rsidR="00BE31EF">
        <w:rPr>
          <w:lang w:val="en-US"/>
        </w:rPr>
        <w:t xml:space="preserve">cholesterol </w:t>
      </w:r>
      <w:r w:rsidR="00781360">
        <w:rPr>
          <w:lang w:val="en-US"/>
        </w:rPr>
        <w:t>respectively.</w:t>
      </w:r>
    </w:p>
    <w:p w:rsidR="000673BB" w:rsidRDefault="000673BB" w:rsidP="000673BB">
      <w:pPr>
        <w:ind w:left="1418" w:hanging="1418"/>
        <w:rPr>
          <w:lang w:val="en-US"/>
        </w:rPr>
      </w:pPr>
    </w:p>
    <w:p w:rsidR="000673BB" w:rsidRDefault="002C5BAF" w:rsidP="000673BB">
      <w:pPr>
        <w:ind w:left="1418" w:hanging="1418"/>
        <w:rPr>
          <w:lang w:val="en-US"/>
        </w:rPr>
      </w:pPr>
      <w:r>
        <w:rPr>
          <w:noProof/>
          <w:lang w:eastAsia="nl-NL"/>
        </w:rPr>
        <w:drawing>
          <wp:inline distT="0" distB="0" distL="0" distR="0" wp14:anchorId="06A3794F" wp14:editId="15B24FDC">
            <wp:extent cx="5270500" cy="2003425"/>
            <wp:effectExtent l="0" t="0" r="1270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 Predictiveness curve.tiff"/>
                    <pic:cNvPicPr/>
                  </pic:nvPicPr>
                  <pic:blipFill>
                    <a:blip r:embed="rId12">
                      <a:extLst>
                        <a:ext uri="{28A0092B-C50C-407E-A947-70E740481C1C}">
                          <a14:useLocalDpi xmlns:a14="http://schemas.microsoft.com/office/drawing/2010/main" val="0"/>
                        </a:ext>
                      </a:extLst>
                    </a:blip>
                    <a:stretch>
                      <a:fillRect/>
                    </a:stretch>
                  </pic:blipFill>
                  <pic:spPr>
                    <a:xfrm>
                      <a:off x="0" y="0"/>
                      <a:ext cx="5270500" cy="2003425"/>
                    </a:xfrm>
                    <a:prstGeom prst="rect">
                      <a:avLst/>
                    </a:prstGeom>
                  </pic:spPr>
                </pic:pic>
              </a:graphicData>
            </a:graphic>
          </wp:inline>
        </w:drawing>
      </w:r>
      <w:r w:rsidR="000673BB">
        <w:rPr>
          <w:lang w:val="en-US"/>
        </w:rPr>
        <w:t xml:space="preserve"> </w:t>
      </w:r>
    </w:p>
    <w:p w:rsidR="000673BB" w:rsidRDefault="000673BB">
      <w:pPr>
        <w:rPr>
          <w:lang w:val="en-US"/>
        </w:rPr>
      </w:pPr>
    </w:p>
    <w:p w:rsidR="000673BB" w:rsidRDefault="000673BB">
      <w:pPr>
        <w:rPr>
          <w:lang w:val="en-US"/>
        </w:rPr>
      </w:pPr>
    </w:p>
    <w:p w:rsidR="000673BB" w:rsidRDefault="000673BB" w:rsidP="00C048BE">
      <w:pPr>
        <w:ind w:left="1418" w:hanging="1418"/>
        <w:rPr>
          <w:lang w:val="en-US"/>
        </w:rPr>
      </w:pPr>
    </w:p>
    <w:p w:rsidR="000673BB" w:rsidRDefault="000673BB">
      <w:pPr>
        <w:rPr>
          <w:lang w:val="en-US"/>
        </w:rPr>
      </w:pPr>
      <w:r>
        <w:rPr>
          <w:lang w:val="en-US"/>
        </w:rPr>
        <w:br w:type="page"/>
      </w:r>
    </w:p>
    <w:p w:rsidR="00B85B9F" w:rsidRDefault="00B85B9F" w:rsidP="00C048BE">
      <w:pPr>
        <w:ind w:left="1418" w:hanging="1418"/>
        <w:rPr>
          <w:lang w:val="en-US"/>
        </w:rPr>
      </w:pPr>
      <w:r w:rsidRPr="00A250CB">
        <w:rPr>
          <w:lang w:val="en-US"/>
        </w:rPr>
        <w:lastRenderedPageBreak/>
        <w:t xml:space="preserve">Figure </w:t>
      </w:r>
      <w:r w:rsidR="000673BB">
        <w:rPr>
          <w:lang w:val="en-US"/>
        </w:rPr>
        <w:t>4</w:t>
      </w:r>
      <w:r w:rsidRPr="00A250CB">
        <w:rPr>
          <w:lang w:val="en-US"/>
        </w:rPr>
        <w:tab/>
      </w:r>
      <w:r>
        <w:rPr>
          <w:lang w:val="en-US"/>
        </w:rPr>
        <w:t>R</w:t>
      </w:r>
      <w:r w:rsidRPr="00A250CB">
        <w:rPr>
          <w:lang w:val="en-US"/>
        </w:rPr>
        <w:t xml:space="preserve">eceiver operating characteristic </w:t>
      </w:r>
      <w:r>
        <w:rPr>
          <w:lang w:val="en-US"/>
        </w:rPr>
        <w:t>(</w:t>
      </w:r>
      <w:r w:rsidRPr="00A250CB">
        <w:rPr>
          <w:lang w:val="en-US"/>
        </w:rPr>
        <w:t>ROC</w:t>
      </w:r>
      <w:r>
        <w:rPr>
          <w:lang w:val="en-US"/>
        </w:rPr>
        <w:t>)</w:t>
      </w:r>
      <w:r w:rsidRPr="00A250CB">
        <w:rPr>
          <w:lang w:val="en-US"/>
        </w:rPr>
        <w:t xml:space="preserve"> curves</w:t>
      </w:r>
      <w:r>
        <w:rPr>
          <w:lang w:val="en-US"/>
        </w:rPr>
        <w:t xml:space="preserve">. </w:t>
      </w:r>
    </w:p>
    <w:p w:rsidR="00B85B9F" w:rsidRPr="00A250CB" w:rsidRDefault="00CE0418" w:rsidP="007514D3">
      <w:pPr>
        <w:ind w:left="1418"/>
        <w:rPr>
          <w:lang w:val="en-US"/>
        </w:rPr>
      </w:pPr>
      <w:r>
        <w:rPr>
          <w:noProof/>
          <w:lang w:eastAsia="nl-NL"/>
        </w:rPr>
        <mc:AlternateContent>
          <mc:Choice Requires="wps">
            <w:drawing>
              <wp:anchor distT="4294967294" distB="4294967294" distL="114300" distR="114300" simplePos="0" relativeHeight="251659264" behindDoc="0" locked="0" layoutInCell="1" allowOverlap="1" wp14:anchorId="571D5E81" wp14:editId="1CBF52AF">
                <wp:simplePos x="0" y="0"/>
                <wp:positionH relativeFrom="column">
                  <wp:posOffset>1642745</wp:posOffset>
                </wp:positionH>
                <wp:positionV relativeFrom="paragraph">
                  <wp:posOffset>100964</wp:posOffset>
                </wp:positionV>
                <wp:extent cx="228600" cy="0"/>
                <wp:effectExtent l="50800" t="50800" r="76200" b="127000"/>
                <wp:wrapNone/>
                <wp:docPr id="7" name="Straight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25400">
                          <a:solidFill>
                            <a:srgbClr val="000000"/>
                          </a:solidFill>
                          <a:round/>
                          <a:headEnd/>
                          <a:tailEnd/>
                        </a:ln>
                        <a:effectLst>
                          <a:outerShdw blurRad="63500" dist="20000" dir="5400000" rotWithShape="0">
                            <a:srgbClr val="000000">
                              <a:alpha val="37999"/>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line id="Straight Connector 11" o:spid="_x0000_s1026" style="position:absolute;z-index:251659264;visibility:visible;mso-wrap-style:square;mso-width-percent:0;mso-height-percent:0;mso-wrap-distance-left:9pt;mso-wrap-distance-top:-2emu;mso-wrap-distance-right:9pt;mso-wrap-distance-bottom:-2emu;mso-position-horizontal:absolute;mso-position-horizontal-relative:text;mso-position-vertical:absolute;mso-position-vertical-relative:text;mso-width-percent:0;mso-height-percent:0;mso-width-relative:page;mso-height-relative:page" from="129.35pt,7.95pt" to="147.35pt,7.9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" strokeweight="2pt">
                <v:shadow on="t" opacity="24903f" origin=",.5" offset="0,20000emu"/>
              </v:line>
            </w:pict>
          </mc:Fallback>
        </mc:AlternateContent>
      </w:r>
      <w:r w:rsidR="00B85B9F" w:rsidRPr="00A250CB">
        <w:rPr>
          <w:lang w:val="en-US"/>
        </w:rPr>
        <w:t>Solid line</w:t>
      </w:r>
      <w:r w:rsidR="00B85B9F">
        <w:rPr>
          <w:lang w:val="en-US"/>
        </w:rPr>
        <w:t>s</w:t>
      </w:r>
      <w:r w:rsidR="00B85B9F" w:rsidRPr="00A250CB">
        <w:rPr>
          <w:lang w:val="en-US"/>
        </w:rPr>
        <w:t xml:space="preserve">          : </w:t>
      </w:r>
      <w:r w:rsidR="00B85B9F">
        <w:rPr>
          <w:lang w:val="en-US"/>
        </w:rPr>
        <w:t xml:space="preserve">based on 10-year CHD </w:t>
      </w:r>
      <w:r w:rsidR="00B85B9F" w:rsidRPr="00A250CB">
        <w:rPr>
          <w:lang w:val="en-US"/>
        </w:rPr>
        <w:t>predictions without HDL</w:t>
      </w:r>
      <w:r w:rsidR="00B85B9F" w:rsidRPr="00295F9F">
        <w:rPr>
          <w:lang w:val="en-US"/>
        </w:rPr>
        <w:t xml:space="preserve"> </w:t>
      </w:r>
      <w:r w:rsidR="00B85B9F">
        <w:rPr>
          <w:lang w:val="en-US"/>
        </w:rPr>
        <w:t>cholesterol</w:t>
      </w:r>
      <w:r w:rsidR="00B85B9F" w:rsidRPr="00A250CB">
        <w:rPr>
          <w:lang w:val="en-US"/>
        </w:rPr>
        <w:t>; dotted line</w:t>
      </w:r>
      <w:r w:rsidR="00B85B9F">
        <w:rPr>
          <w:lang w:val="en-US"/>
        </w:rPr>
        <w:t>s</w:t>
      </w:r>
      <w:r w:rsidR="00B85B9F" w:rsidRPr="00A250CB">
        <w:rPr>
          <w:lang w:val="en-US"/>
        </w:rPr>
        <w:t xml:space="preserve"> ---: </w:t>
      </w:r>
      <w:r w:rsidR="00B85B9F">
        <w:rPr>
          <w:lang w:val="en-US"/>
        </w:rPr>
        <w:t xml:space="preserve">based on 10-year CHD </w:t>
      </w:r>
      <w:r w:rsidR="00B85B9F" w:rsidRPr="00A250CB">
        <w:rPr>
          <w:lang w:val="en-US"/>
        </w:rPr>
        <w:t>predictions with HDL</w:t>
      </w:r>
      <w:r w:rsidR="00B85B9F" w:rsidRPr="00295F9F">
        <w:rPr>
          <w:lang w:val="en-US"/>
        </w:rPr>
        <w:t xml:space="preserve"> </w:t>
      </w:r>
      <w:r w:rsidR="00B85B9F">
        <w:rPr>
          <w:lang w:val="en-US"/>
        </w:rPr>
        <w:t>cholesterol</w:t>
      </w:r>
      <w:r w:rsidR="00B85B9F" w:rsidRPr="00C048BE">
        <w:rPr>
          <w:lang w:val="en-US"/>
        </w:rPr>
        <w:t xml:space="preserve"> </w:t>
      </w:r>
      <w:r w:rsidR="00B85B9F" w:rsidRPr="00A250CB">
        <w:rPr>
          <w:lang w:val="en-US"/>
        </w:rPr>
        <w:t xml:space="preserve">in 3264 </w:t>
      </w:r>
      <w:r w:rsidR="00B85B9F">
        <w:rPr>
          <w:lang w:val="en-US"/>
        </w:rPr>
        <w:t>participants</w:t>
      </w:r>
      <w:r w:rsidR="00B85B9F" w:rsidRPr="00A250CB">
        <w:rPr>
          <w:lang w:val="en-US"/>
        </w:rPr>
        <w:t xml:space="preserve"> from the Framingham </w:t>
      </w:r>
      <w:r w:rsidR="00B85B9F">
        <w:rPr>
          <w:lang w:val="en-US"/>
        </w:rPr>
        <w:t>Heart S</w:t>
      </w:r>
      <w:r w:rsidR="00B85B9F" w:rsidRPr="00A250CB">
        <w:rPr>
          <w:lang w:val="en-US"/>
        </w:rPr>
        <w:t>tudy.</w:t>
      </w:r>
      <w:r w:rsidR="00B85B9F">
        <w:rPr>
          <w:lang w:val="en-US"/>
        </w:rPr>
        <w:t xml:space="preserve"> The 20% decision threshold is indicated</w:t>
      </w:r>
      <w:r w:rsidR="00E41AB0">
        <w:rPr>
          <w:lang w:val="en-US"/>
        </w:rPr>
        <w:t xml:space="preserve"> with a triangle and a circle for the model with and without HDL</w:t>
      </w:r>
      <w:r w:rsidR="00BE31EF">
        <w:rPr>
          <w:lang w:val="en-US"/>
        </w:rPr>
        <w:t xml:space="preserve"> cholesterol</w:t>
      </w:r>
      <w:r w:rsidR="00E41AB0">
        <w:rPr>
          <w:lang w:val="en-US"/>
        </w:rPr>
        <w:t xml:space="preserve"> respectively</w:t>
      </w:r>
      <w:r w:rsidR="00B85B9F">
        <w:rPr>
          <w:lang w:val="en-US"/>
        </w:rPr>
        <w:t>.</w:t>
      </w:r>
    </w:p>
    <w:p w:rsidR="00B85B9F" w:rsidRPr="00A250CB" w:rsidRDefault="00B85B9F" w:rsidP="00C048BE">
      <w:pPr>
        <w:rPr>
          <w:lang w:val="en-US"/>
        </w:rPr>
      </w:pPr>
    </w:p>
    <w:p w:rsidR="00B85B9F" w:rsidRPr="00A250CB" w:rsidRDefault="00B85B9F" w:rsidP="00080103">
      <w:pPr>
        <w:rPr>
          <w:lang w:val="en-US"/>
        </w:rPr>
      </w:pPr>
    </w:p>
    <w:p w:rsidR="00B85B9F" w:rsidRPr="00A250CB" w:rsidRDefault="00B85B9F" w:rsidP="00080103">
      <w:pPr>
        <w:rPr>
          <w:lang w:val="en-US"/>
        </w:rPr>
      </w:pPr>
    </w:p>
    <w:p w:rsidR="00B85B9F" w:rsidRPr="00A250CB" w:rsidRDefault="001D763D" w:rsidP="00080103">
      <w:pPr>
        <w:rPr>
          <w:lang w:val="en-US"/>
        </w:rPr>
      </w:pPr>
      <w:r>
        <w:rPr>
          <w:noProof/>
          <w:lang w:eastAsia="nl-NL"/>
        </w:rPr>
        <w:drawing>
          <wp:inline distT="0" distB="0" distL="0" distR="0" wp14:anchorId="34172A77" wp14:editId="0F5F7B3A">
            <wp:extent cx="5270500" cy="4452620"/>
            <wp:effectExtent l="0" t="0" r="1270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 ROC plot.tiff"/>
                    <pic:cNvPicPr/>
                  </pic:nvPicPr>
                  <pic:blipFill>
                    <a:blip r:embed="rId13">
                      <a:extLst>
                        <a:ext uri="{28A0092B-C50C-407E-A947-70E740481C1C}">
                          <a14:useLocalDpi xmlns:a14="http://schemas.microsoft.com/office/drawing/2010/main" val="0"/>
                        </a:ext>
                      </a:extLst>
                    </a:blip>
                    <a:stretch>
                      <a:fillRect/>
                    </a:stretch>
                  </pic:blipFill>
                  <pic:spPr>
                    <a:xfrm>
                      <a:off x="0" y="0"/>
                      <a:ext cx="5270500" cy="4452620"/>
                    </a:xfrm>
                    <a:prstGeom prst="rect">
                      <a:avLst/>
                    </a:prstGeom>
                  </pic:spPr>
                </pic:pic>
              </a:graphicData>
            </a:graphic>
          </wp:inline>
        </w:drawing>
      </w:r>
    </w:p>
    <w:p w:rsidR="00B85B9F" w:rsidRPr="00A250CB" w:rsidRDefault="00B85B9F" w:rsidP="00080103">
      <w:pPr>
        <w:rPr>
          <w:lang w:val="en-US"/>
        </w:rPr>
      </w:pPr>
    </w:p>
    <w:p w:rsidR="00B85B9F" w:rsidRPr="00A250CB" w:rsidRDefault="00B85B9F" w:rsidP="00080103">
      <w:pPr>
        <w:rPr>
          <w:lang w:val="en-US"/>
        </w:rPr>
      </w:pPr>
      <w:r w:rsidRPr="00A250CB">
        <w:rPr>
          <w:lang w:val="en-US"/>
        </w:rPr>
        <w:br w:type="page"/>
      </w:r>
    </w:p>
    <w:p w:rsidR="00B85B9F" w:rsidRPr="00A250CB" w:rsidRDefault="00B85B9F" w:rsidP="00D67426">
      <w:pPr>
        <w:ind w:left="1440" w:hanging="1440"/>
        <w:rPr>
          <w:lang w:val="en-US"/>
        </w:rPr>
      </w:pPr>
      <w:r>
        <w:rPr>
          <w:lang w:val="en-US"/>
        </w:rPr>
        <w:lastRenderedPageBreak/>
        <w:t xml:space="preserve">Figure </w:t>
      </w:r>
      <w:r w:rsidR="001D763D">
        <w:rPr>
          <w:lang w:val="en-US"/>
        </w:rPr>
        <w:t>5</w:t>
      </w:r>
      <w:r>
        <w:rPr>
          <w:lang w:val="en-US"/>
        </w:rPr>
        <w:tab/>
      </w:r>
      <w:r w:rsidRPr="00A250CB">
        <w:rPr>
          <w:lang w:val="en-US"/>
        </w:rPr>
        <w:t xml:space="preserve">Reclassification </w:t>
      </w:r>
      <w:r>
        <w:rPr>
          <w:lang w:val="en-US"/>
        </w:rPr>
        <w:t>graphs</w:t>
      </w:r>
      <w:r w:rsidRPr="002F345D">
        <w:rPr>
          <w:lang w:val="en-US"/>
        </w:rPr>
        <w:t xml:space="preserve"> </w:t>
      </w:r>
      <w:r>
        <w:rPr>
          <w:lang w:val="en-US"/>
        </w:rPr>
        <w:t xml:space="preserve"> for the addition of</w:t>
      </w:r>
      <w:r w:rsidRPr="00A250CB">
        <w:rPr>
          <w:lang w:val="en-US"/>
        </w:rPr>
        <w:t xml:space="preserve"> HDL</w:t>
      </w:r>
      <w:r w:rsidRPr="00295F9F">
        <w:rPr>
          <w:lang w:val="en-US"/>
        </w:rPr>
        <w:t xml:space="preserve"> </w:t>
      </w:r>
      <w:r>
        <w:rPr>
          <w:lang w:val="en-US"/>
        </w:rPr>
        <w:t>cholesterol to 10-year CHD predictions</w:t>
      </w:r>
      <w:r w:rsidRPr="00C048BE">
        <w:rPr>
          <w:lang w:val="en-US"/>
        </w:rPr>
        <w:t xml:space="preserve"> </w:t>
      </w:r>
      <w:r w:rsidRPr="00A250CB">
        <w:rPr>
          <w:lang w:val="en-US"/>
        </w:rPr>
        <w:t xml:space="preserve">in 3264 </w:t>
      </w:r>
      <w:r>
        <w:rPr>
          <w:lang w:val="en-US"/>
        </w:rPr>
        <w:t>participants</w:t>
      </w:r>
      <w:r w:rsidRPr="00A250CB">
        <w:rPr>
          <w:lang w:val="en-US"/>
        </w:rPr>
        <w:t xml:space="preserve"> from the Framingham </w:t>
      </w:r>
      <w:r>
        <w:rPr>
          <w:lang w:val="en-US"/>
        </w:rPr>
        <w:t>Heart S</w:t>
      </w:r>
      <w:r w:rsidRPr="00A250CB">
        <w:rPr>
          <w:lang w:val="en-US"/>
        </w:rPr>
        <w:t>tudy.</w:t>
      </w:r>
      <w:r>
        <w:rPr>
          <w:lang w:val="en-US"/>
        </w:rPr>
        <w:t xml:space="preserve"> Classification with a 20% risk cut-off is indicated with dotted lines.</w:t>
      </w:r>
    </w:p>
    <w:p w:rsidR="00B85B9F" w:rsidRPr="00A250CB" w:rsidRDefault="00B85B9F" w:rsidP="002F345D">
      <w:pPr>
        <w:rPr>
          <w:lang w:val="en-US"/>
        </w:rPr>
      </w:pPr>
    </w:p>
    <w:p w:rsidR="00B85B9F" w:rsidRPr="00A250CB" w:rsidRDefault="001D763D" w:rsidP="00080103">
      <w:pPr>
        <w:rPr>
          <w:lang w:val="en-US"/>
        </w:rPr>
      </w:pPr>
      <w:r>
        <w:rPr>
          <w:noProof/>
          <w:lang w:eastAsia="nl-NL"/>
        </w:rPr>
        <w:drawing>
          <wp:inline distT="0" distB="0" distL="0" distR="0" wp14:anchorId="7EFAEACD" wp14:editId="12316D36">
            <wp:extent cx="5270500" cy="2458720"/>
            <wp:effectExtent l="0" t="0" r="12700" b="508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 reclassification.tiff"/>
                    <pic:cNvPicPr/>
                  </pic:nvPicPr>
                  <pic:blipFill>
                    <a:blip r:embed="rId14">
                      <a:extLst>
                        <a:ext uri="{28A0092B-C50C-407E-A947-70E740481C1C}">
                          <a14:useLocalDpi xmlns:a14="http://schemas.microsoft.com/office/drawing/2010/main" val="0"/>
                        </a:ext>
                      </a:extLst>
                    </a:blip>
                    <a:stretch>
                      <a:fillRect/>
                    </a:stretch>
                  </pic:blipFill>
                  <pic:spPr>
                    <a:xfrm>
                      <a:off x="0" y="0"/>
                      <a:ext cx="5270500" cy="2458720"/>
                    </a:xfrm>
                    <a:prstGeom prst="rect">
                      <a:avLst/>
                    </a:prstGeom>
                  </pic:spPr>
                </pic:pic>
              </a:graphicData>
            </a:graphic>
          </wp:inline>
        </w:drawing>
      </w:r>
    </w:p>
    <w:p w:rsidR="00B85B9F" w:rsidRPr="00A250CB" w:rsidRDefault="00B85B9F">
      <w:pPr>
        <w:rPr>
          <w:lang w:val="en-US"/>
        </w:rPr>
      </w:pPr>
    </w:p>
    <w:p w:rsidR="00B85B9F" w:rsidRDefault="00B85B9F">
      <w:pPr>
        <w:rPr>
          <w:lang w:val="en-US"/>
        </w:rPr>
      </w:pPr>
      <w:r>
        <w:rPr>
          <w:lang w:val="en-US"/>
        </w:rPr>
        <w:br w:type="page"/>
      </w:r>
    </w:p>
    <w:p w:rsidR="00B85B9F" w:rsidRPr="00A250CB" w:rsidRDefault="00B85B9F" w:rsidP="00192587">
      <w:pPr>
        <w:ind w:left="1134" w:hanging="1134"/>
        <w:rPr>
          <w:lang w:val="en-US"/>
        </w:rPr>
      </w:pPr>
      <w:r>
        <w:rPr>
          <w:lang w:val="en-US"/>
        </w:rPr>
        <w:lastRenderedPageBreak/>
        <w:t xml:space="preserve">Figure </w:t>
      </w:r>
      <w:r w:rsidR="001B3811">
        <w:rPr>
          <w:lang w:val="en-US"/>
        </w:rPr>
        <w:t>6</w:t>
      </w:r>
      <w:r>
        <w:rPr>
          <w:lang w:val="en-US"/>
        </w:rPr>
        <w:tab/>
      </w:r>
      <w:r w:rsidRPr="00A250CB">
        <w:rPr>
          <w:lang w:val="en-US"/>
        </w:rPr>
        <w:t xml:space="preserve">Net </w:t>
      </w:r>
      <w:r>
        <w:rPr>
          <w:lang w:val="en-US"/>
        </w:rPr>
        <w:t>R</w:t>
      </w:r>
      <w:r w:rsidRPr="00A250CB">
        <w:rPr>
          <w:lang w:val="en-US"/>
        </w:rPr>
        <w:t xml:space="preserve">eclassification </w:t>
      </w:r>
      <w:r>
        <w:rPr>
          <w:lang w:val="en-US"/>
        </w:rPr>
        <w:t>R</w:t>
      </w:r>
      <w:r w:rsidRPr="00A250CB">
        <w:rPr>
          <w:lang w:val="en-US"/>
        </w:rPr>
        <w:t xml:space="preserve">isk </w:t>
      </w:r>
      <w:r>
        <w:rPr>
          <w:lang w:val="en-US"/>
        </w:rPr>
        <w:t xml:space="preserve">graph for the addition of HDL cholesterol to 10-year CHD </w:t>
      </w:r>
      <w:r w:rsidRPr="00A250CB">
        <w:rPr>
          <w:lang w:val="en-US"/>
        </w:rPr>
        <w:t>predictions</w:t>
      </w:r>
      <w:r w:rsidRPr="00C048BE">
        <w:rPr>
          <w:lang w:val="en-US"/>
        </w:rPr>
        <w:t xml:space="preserve"> </w:t>
      </w:r>
      <w:r w:rsidRPr="00A250CB">
        <w:rPr>
          <w:lang w:val="en-US"/>
        </w:rPr>
        <w:t xml:space="preserve">in 3264 </w:t>
      </w:r>
      <w:r>
        <w:rPr>
          <w:lang w:val="en-US"/>
        </w:rPr>
        <w:t>participants</w:t>
      </w:r>
      <w:r w:rsidRPr="00A250CB">
        <w:rPr>
          <w:lang w:val="en-US"/>
        </w:rPr>
        <w:t xml:space="preserve"> from the Framingham </w:t>
      </w:r>
      <w:r>
        <w:rPr>
          <w:lang w:val="en-US"/>
        </w:rPr>
        <w:t>Heart S</w:t>
      </w:r>
      <w:r w:rsidRPr="00A250CB">
        <w:rPr>
          <w:lang w:val="en-US"/>
        </w:rPr>
        <w:t>tudy.</w:t>
      </w:r>
      <w:r>
        <w:rPr>
          <w:lang w:val="en-US"/>
        </w:rPr>
        <w:t xml:space="preserve"> L: Low risk classification; H: High risk classification, based on a 20% risk cut-off.</w:t>
      </w:r>
      <w:r w:rsidR="001B3811">
        <w:rPr>
          <w:lang w:val="en-US"/>
        </w:rPr>
        <w:t xml:space="preserve"> </w:t>
      </w:r>
      <w:r w:rsidR="001A168C">
        <w:rPr>
          <w:lang w:val="en-US"/>
        </w:rPr>
        <w:t>Reclassified patients are in the groups H</w:t>
      </w:r>
      <w:r w:rsidR="001A168C" w:rsidRPr="001B3811">
        <w:rPr>
          <w:lang w:val="en-US"/>
        </w:rPr>
        <w:sym w:font="Wingdings" w:char="F0E0"/>
      </w:r>
      <w:r w:rsidR="001A168C">
        <w:rPr>
          <w:lang w:val="en-US"/>
        </w:rPr>
        <w:t>L and L</w:t>
      </w:r>
      <w:r w:rsidR="001A168C" w:rsidRPr="001D763D">
        <w:rPr>
          <w:lang w:val="en-US"/>
        </w:rPr>
        <w:sym w:font="Wingdings" w:char="F0E0"/>
      </w:r>
      <w:r w:rsidR="001A168C">
        <w:rPr>
          <w:lang w:val="en-US"/>
        </w:rPr>
        <w:t>H (Low risk reclassified as high risk, and high risk reclassified as low risk respectively). Uncertainty is indicated by 95% confidence intervals.</w:t>
      </w:r>
    </w:p>
    <w:p w:rsidR="00B85B9F" w:rsidRPr="00A250CB" w:rsidRDefault="00B85B9F" w:rsidP="002F345D">
      <w:pPr>
        <w:ind w:left="1440" w:hanging="1440"/>
        <w:rPr>
          <w:lang w:val="en-US"/>
        </w:rPr>
      </w:pPr>
    </w:p>
    <w:p w:rsidR="00B85B9F" w:rsidRPr="00A250CB" w:rsidRDefault="001A168C" w:rsidP="00E03527">
      <w:pPr>
        <w:rPr>
          <w:lang w:val="en-US"/>
        </w:rPr>
      </w:pPr>
      <w:r>
        <w:rPr>
          <w:noProof/>
          <w:lang w:eastAsia="nl-NL"/>
        </w:rPr>
        <w:drawing>
          <wp:inline distT="0" distB="0" distL="0" distR="0" wp14:anchorId="553D85EF" wp14:editId="1099661D">
            <wp:extent cx="5270500" cy="1949450"/>
            <wp:effectExtent l="0" t="0" r="12700" b="635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 reclassification risk 95CI.tiff"/>
                    <pic:cNvPicPr/>
                  </pic:nvPicPr>
                  <pic:blipFill>
                    <a:blip r:embed="rId15">
                      <a:extLst>
                        <a:ext uri="{28A0092B-C50C-407E-A947-70E740481C1C}">
                          <a14:useLocalDpi xmlns:a14="http://schemas.microsoft.com/office/drawing/2010/main" val="0"/>
                        </a:ext>
                      </a:extLst>
                    </a:blip>
                    <a:stretch>
                      <a:fillRect/>
                    </a:stretch>
                  </pic:blipFill>
                  <pic:spPr>
                    <a:xfrm>
                      <a:off x="0" y="0"/>
                      <a:ext cx="5270500" cy="1949450"/>
                    </a:xfrm>
                    <a:prstGeom prst="rect">
                      <a:avLst/>
                    </a:prstGeom>
                  </pic:spPr>
                </pic:pic>
              </a:graphicData>
            </a:graphic>
          </wp:inline>
        </w:drawing>
      </w:r>
    </w:p>
    <w:p w:rsidR="00B85B9F" w:rsidRPr="00A250CB" w:rsidRDefault="00B85B9F" w:rsidP="00E03527">
      <w:pPr>
        <w:rPr>
          <w:lang w:val="en-US"/>
        </w:rPr>
      </w:pPr>
    </w:p>
    <w:p w:rsidR="00B85B9F" w:rsidRPr="00A250CB" w:rsidRDefault="00B85B9F" w:rsidP="007A03DA">
      <w:pPr>
        <w:rPr>
          <w:lang w:val="en-US"/>
        </w:rPr>
      </w:pPr>
    </w:p>
    <w:p w:rsidR="00B85B9F" w:rsidRPr="00A250CB" w:rsidRDefault="00B85B9F" w:rsidP="007A03DA">
      <w:pPr>
        <w:rPr>
          <w:lang w:val="en-US"/>
        </w:rPr>
      </w:pPr>
    </w:p>
    <w:p w:rsidR="00B85B9F" w:rsidRPr="00A250CB" w:rsidRDefault="00B85B9F">
      <w:pPr>
        <w:rPr>
          <w:lang w:val="en-US"/>
        </w:rPr>
      </w:pPr>
    </w:p>
    <w:p w:rsidR="00B85B9F" w:rsidRPr="00A250CB" w:rsidRDefault="00B85B9F">
      <w:pPr>
        <w:rPr>
          <w:lang w:val="en-US"/>
        </w:rPr>
      </w:pPr>
      <w:r w:rsidRPr="00A250CB">
        <w:rPr>
          <w:lang w:val="en-US"/>
        </w:rPr>
        <w:br w:type="page"/>
      </w:r>
    </w:p>
    <w:p w:rsidR="00B85B9F" w:rsidRPr="00A250CB" w:rsidRDefault="00B85B9F" w:rsidP="00192587">
      <w:pPr>
        <w:ind w:left="1440" w:hanging="1440"/>
        <w:rPr>
          <w:lang w:val="en-US"/>
        </w:rPr>
      </w:pPr>
      <w:r w:rsidRPr="00A250CB">
        <w:rPr>
          <w:lang w:val="en-US"/>
        </w:rPr>
        <w:lastRenderedPageBreak/>
        <w:t>Figu</w:t>
      </w:r>
      <w:r>
        <w:rPr>
          <w:lang w:val="en-US"/>
        </w:rPr>
        <w:t xml:space="preserve">re </w:t>
      </w:r>
      <w:r w:rsidR="001B3811">
        <w:rPr>
          <w:lang w:val="en-US"/>
        </w:rPr>
        <w:t>7</w:t>
      </w:r>
      <w:r>
        <w:rPr>
          <w:lang w:val="en-US"/>
        </w:rPr>
        <w:tab/>
      </w:r>
      <w:r w:rsidRPr="00A250CB">
        <w:rPr>
          <w:lang w:val="en-US"/>
        </w:rPr>
        <w:t>Decision curve</w:t>
      </w:r>
      <w:r>
        <w:rPr>
          <w:lang w:val="en-US"/>
        </w:rPr>
        <w:t>s comparing Net Benefit of four alternative strategies: treat all, treat none</w:t>
      </w:r>
      <w:r w:rsidR="00BE31EF">
        <w:rPr>
          <w:lang w:val="en-US"/>
        </w:rPr>
        <w:t>,</w:t>
      </w:r>
      <w:r>
        <w:rPr>
          <w:lang w:val="en-US"/>
        </w:rPr>
        <w:t xml:space="preserve"> </w:t>
      </w:r>
      <w:r w:rsidR="00BE31EF">
        <w:rPr>
          <w:lang w:val="en-US"/>
        </w:rPr>
        <w:t>and</w:t>
      </w:r>
      <w:r>
        <w:rPr>
          <w:lang w:val="en-US"/>
        </w:rPr>
        <w:t xml:space="preserve"> treatment decisions based on the predicted 10-year CHD risk (from models with or without HDL cholesterol) according to risk cut-offs between 0 and 30%.</w:t>
      </w:r>
    </w:p>
    <w:p w:rsidR="00B85B9F" w:rsidRPr="00A250CB" w:rsidRDefault="00B85B9F" w:rsidP="00192587">
      <w:pPr>
        <w:rPr>
          <w:lang w:val="en-US"/>
        </w:rPr>
      </w:pPr>
    </w:p>
    <w:p w:rsidR="00B85B9F" w:rsidRPr="00A250CB" w:rsidRDefault="001B3811" w:rsidP="00192587">
      <w:pPr>
        <w:rPr>
          <w:lang w:val="en-US"/>
        </w:rPr>
      </w:pPr>
      <w:r>
        <w:rPr>
          <w:noProof/>
          <w:lang w:eastAsia="nl-NL"/>
        </w:rPr>
        <w:drawing>
          <wp:inline distT="0" distB="0" distL="0" distR="0" wp14:anchorId="58497AAC" wp14:editId="51D54B59">
            <wp:extent cx="5270500" cy="4054475"/>
            <wp:effectExtent l="0" t="0" r="1270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 DCA with legend.tiff"/>
                    <pic:cNvPicPr/>
                  </pic:nvPicPr>
                  <pic:blipFill>
                    <a:blip r:embed="rId16">
                      <a:extLst>
                        <a:ext uri="{28A0092B-C50C-407E-A947-70E740481C1C}">
                          <a14:useLocalDpi xmlns:a14="http://schemas.microsoft.com/office/drawing/2010/main" val="0"/>
                        </a:ext>
                      </a:extLst>
                    </a:blip>
                    <a:stretch>
                      <a:fillRect/>
                    </a:stretch>
                  </pic:blipFill>
                  <pic:spPr>
                    <a:xfrm>
                      <a:off x="0" y="0"/>
                      <a:ext cx="5270500" cy="4054475"/>
                    </a:xfrm>
                    <a:prstGeom prst="rect">
                      <a:avLst/>
                    </a:prstGeom>
                  </pic:spPr>
                </pic:pic>
              </a:graphicData>
            </a:graphic>
          </wp:inline>
        </w:drawing>
      </w:r>
    </w:p>
    <w:p w:rsidR="00070AE1" w:rsidRDefault="00070AE1">
      <w:pPr>
        <w:rPr>
          <w:lang w:val="en-US"/>
        </w:rPr>
      </w:pPr>
      <w:r>
        <w:rPr>
          <w:lang w:val="en-US"/>
        </w:rPr>
        <w:br w:type="page"/>
      </w:r>
    </w:p>
    <w:p w:rsidR="004B61B4" w:rsidRDefault="000C0624">
      <w:pPr>
        <w:rPr>
          <w:b/>
          <w:lang w:val="en-US"/>
        </w:rPr>
      </w:pPr>
      <w:r w:rsidRPr="00C01777">
        <w:rPr>
          <w:b/>
          <w:lang w:val="en-US"/>
        </w:rPr>
        <w:lastRenderedPageBreak/>
        <w:t>References</w:t>
      </w:r>
    </w:p>
    <w:p w:rsidR="004B61B4" w:rsidRDefault="004B61B4">
      <w:pPr>
        <w:rPr>
          <w:b/>
          <w:lang w:val="en-US"/>
        </w:rPr>
      </w:pPr>
    </w:p>
    <w:p w:rsidR="00BF347F" w:rsidRPr="00BF347F" w:rsidRDefault="004B61B4" w:rsidP="00BF347F">
      <w:pPr>
        <w:ind w:left="720" w:hanging="720"/>
        <w:rPr>
          <w:noProof/>
          <w:lang w:val="en-US"/>
        </w:rPr>
      </w:pPr>
      <w:r w:rsidRPr="004C44CE">
        <w:rPr>
          <w:sz w:val="20"/>
          <w:lang w:val="en-US"/>
        </w:rPr>
        <w:fldChar w:fldCharType="begin"/>
      </w:r>
      <w:r w:rsidRPr="004C44CE">
        <w:rPr>
          <w:sz w:val="20"/>
          <w:lang w:val="en-US"/>
        </w:rPr>
        <w:instrText xml:space="preserve"> ADDIN EN.REFLIST </w:instrText>
      </w:r>
      <w:r w:rsidRPr="004C44CE">
        <w:rPr>
          <w:sz w:val="20"/>
          <w:lang w:val="en-US"/>
        </w:rPr>
        <w:fldChar w:fldCharType="separate"/>
      </w:r>
      <w:bookmarkStart w:id="1" w:name="_ENREF_1"/>
      <w:r w:rsidR="00BF347F" w:rsidRPr="00BF347F">
        <w:rPr>
          <w:noProof/>
          <w:lang w:val="en-US"/>
        </w:rPr>
        <w:t xml:space="preserve">Austin, P.C. &amp; Steyerberg, E.W. (2013). Predictive accuracy of risk factors and markers: a simulation study of the effect of novel markers on different performance measures for logistic regression models. </w:t>
      </w:r>
      <w:r w:rsidR="00BF347F" w:rsidRPr="00BF347F">
        <w:rPr>
          <w:i/>
          <w:noProof/>
          <w:lang w:val="en-US"/>
        </w:rPr>
        <w:t>Stat Med</w:t>
      </w:r>
      <w:r w:rsidR="00BF347F" w:rsidRPr="00BF347F">
        <w:rPr>
          <w:noProof/>
          <w:lang w:val="en-US"/>
        </w:rPr>
        <w:t xml:space="preserve">, </w:t>
      </w:r>
      <w:r w:rsidR="00BF347F" w:rsidRPr="00BF347F">
        <w:rPr>
          <w:b/>
          <w:noProof/>
          <w:lang w:val="en-US"/>
        </w:rPr>
        <w:t>32,</w:t>
      </w:r>
      <w:r w:rsidR="00BF347F" w:rsidRPr="00BF347F">
        <w:rPr>
          <w:noProof/>
          <w:lang w:val="en-US"/>
        </w:rPr>
        <w:t xml:space="preserve"> 661-72.</w:t>
      </w:r>
      <w:bookmarkEnd w:id="1"/>
    </w:p>
    <w:p w:rsidR="00BF347F" w:rsidRPr="00BF347F" w:rsidRDefault="00BF347F" w:rsidP="00BF347F">
      <w:pPr>
        <w:ind w:left="720" w:hanging="720"/>
        <w:rPr>
          <w:noProof/>
          <w:lang w:val="en-US"/>
        </w:rPr>
      </w:pPr>
      <w:bookmarkStart w:id="2" w:name="_ENREF_2"/>
      <w:r w:rsidRPr="00BF347F">
        <w:rPr>
          <w:noProof/>
          <w:lang w:val="en-US"/>
        </w:rPr>
        <w:t xml:space="preserve">Baker, S.G. (2009). Putting risk prediction in perspective: relative utility curves. </w:t>
      </w:r>
      <w:r w:rsidRPr="00BF347F">
        <w:rPr>
          <w:i/>
          <w:noProof/>
          <w:lang w:val="en-US"/>
        </w:rPr>
        <w:t>J Natl Cancer Inst</w:t>
      </w:r>
      <w:r w:rsidRPr="00BF347F">
        <w:rPr>
          <w:noProof/>
          <w:lang w:val="en-US"/>
        </w:rPr>
        <w:t xml:space="preserve">, </w:t>
      </w:r>
      <w:r w:rsidRPr="00BF347F">
        <w:rPr>
          <w:b/>
          <w:noProof/>
          <w:lang w:val="en-US"/>
        </w:rPr>
        <w:t>101,</w:t>
      </w:r>
      <w:r w:rsidRPr="00BF347F">
        <w:rPr>
          <w:noProof/>
          <w:lang w:val="en-US"/>
        </w:rPr>
        <w:t xml:space="preserve"> 1538-42.</w:t>
      </w:r>
      <w:bookmarkEnd w:id="2"/>
    </w:p>
    <w:p w:rsidR="00BF347F" w:rsidRPr="00BF347F" w:rsidRDefault="00BF347F" w:rsidP="00BF347F">
      <w:pPr>
        <w:ind w:left="720" w:hanging="720"/>
        <w:rPr>
          <w:noProof/>
          <w:lang w:val="en-US"/>
        </w:rPr>
      </w:pPr>
      <w:bookmarkStart w:id="3" w:name="_ENREF_3"/>
      <w:r w:rsidRPr="00BF347F">
        <w:rPr>
          <w:noProof/>
          <w:lang w:val="en-US"/>
        </w:rPr>
        <w:t xml:space="preserve">Baker, S.G., Cook, N.R., Vickers, A. &amp; Kramer, B.S. (2009). Using relative utility curves to evaluate risk prediction. </w:t>
      </w:r>
      <w:r w:rsidRPr="00BF347F">
        <w:rPr>
          <w:i/>
          <w:noProof/>
          <w:lang w:val="en-US"/>
        </w:rPr>
        <w:t>J R Stat Soc Ser A Stat Soc</w:t>
      </w:r>
      <w:r w:rsidRPr="00BF347F">
        <w:rPr>
          <w:noProof/>
          <w:lang w:val="en-US"/>
        </w:rPr>
        <w:t xml:space="preserve">, </w:t>
      </w:r>
      <w:r w:rsidRPr="00BF347F">
        <w:rPr>
          <w:b/>
          <w:noProof/>
          <w:lang w:val="en-US"/>
        </w:rPr>
        <w:t>172,</w:t>
      </w:r>
      <w:r w:rsidRPr="00BF347F">
        <w:rPr>
          <w:noProof/>
          <w:lang w:val="en-US"/>
        </w:rPr>
        <w:t xml:space="preserve"> 729-748.</w:t>
      </w:r>
      <w:bookmarkEnd w:id="3"/>
    </w:p>
    <w:p w:rsidR="00BF347F" w:rsidRPr="00BF347F" w:rsidRDefault="00BF347F" w:rsidP="00BF347F">
      <w:pPr>
        <w:ind w:left="720" w:hanging="720"/>
        <w:rPr>
          <w:noProof/>
          <w:lang w:val="en-US"/>
        </w:rPr>
      </w:pPr>
      <w:bookmarkStart w:id="4" w:name="_ENREF_4"/>
      <w:r w:rsidRPr="00BF347F">
        <w:rPr>
          <w:noProof/>
          <w:lang w:val="en-US"/>
        </w:rPr>
        <w:t xml:space="preserve">Baker, S.G., Van Calster, B. &amp; Steyerberg, E.W. (2012). Evaluating a new marker for risk prediction using the test tradeoff: an update. </w:t>
      </w:r>
      <w:r w:rsidRPr="00BF347F">
        <w:rPr>
          <w:i/>
          <w:noProof/>
          <w:lang w:val="en-US"/>
        </w:rPr>
        <w:t>Int J Biostat</w:t>
      </w:r>
      <w:r w:rsidRPr="00BF347F">
        <w:rPr>
          <w:noProof/>
          <w:lang w:val="en-US"/>
        </w:rPr>
        <w:t xml:space="preserve">, </w:t>
      </w:r>
      <w:r w:rsidRPr="00BF347F">
        <w:rPr>
          <w:b/>
          <w:noProof/>
          <w:lang w:val="en-US"/>
        </w:rPr>
        <w:t>8</w:t>
      </w:r>
      <w:r w:rsidRPr="00BF347F">
        <w:rPr>
          <w:noProof/>
          <w:lang w:val="en-US"/>
        </w:rPr>
        <w:t>.</w:t>
      </w:r>
      <w:bookmarkEnd w:id="4"/>
    </w:p>
    <w:p w:rsidR="00BF347F" w:rsidRPr="00BF347F" w:rsidRDefault="00BF347F" w:rsidP="00BF347F">
      <w:pPr>
        <w:ind w:left="720" w:hanging="720"/>
        <w:rPr>
          <w:noProof/>
          <w:lang w:val="en-US"/>
        </w:rPr>
      </w:pPr>
      <w:bookmarkStart w:id="5" w:name="_ENREF_5"/>
      <w:r w:rsidRPr="00BF347F">
        <w:rPr>
          <w:noProof/>
          <w:lang w:val="en-US"/>
        </w:rPr>
        <w:t xml:space="preserve">Chapman, R.H., Stone, P.W., Sandberg, E.A., Bell, C. &amp; Neumann, P.J. (2000). A comprehensive league table of cost-utility ratios and a sub-table of "panel-worthy" studies. </w:t>
      </w:r>
      <w:r w:rsidRPr="00BF347F">
        <w:rPr>
          <w:i/>
          <w:noProof/>
          <w:lang w:val="en-US"/>
        </w:rPr>
        <w:t>Med Decis Making</w:t>
      </w:r>
      <w:r w:rsidRPr="00BF347F">
        <w:rPr>
          <w:noProof/>
          <w:lang w:val="en-US"/>
        </w:rPr>
        <w:t xml:space="preserve">, </w:t>
      </w:r>
      <w:r w:rsidRPr="00BF347F">
        <w:rPr>
          <w:b/>
          <w:noProof/>
          <w:lang w:val="en-US"/>
        </w:rPr>
        <w:t>20,</w:t>
      </w:r>
      <w:r w:rsidRPr="00BF347F">
        <w:rPr>
          <w:noProof/>
          <w:lang w:val="en-US"/>
        </w:rPr>
        <w:t xml:space="preserve"> 451-67.</w:t>
      </w:r>
      <w:bookmarkEnd w:id="5"/>
    </w:p>
    <w:p w:rsidR="00BF347F" w:rsidRPr="00BF347F" w:rsidRDefault="00BF347F" w:rsidP="00BF347F">
      <w:pPr>
        <w:ind w:left="720" w:hanging="720"/>
        <w:rPr>
          <w:noProof/>
          <w:lang w:val="en-US"/>
        </w:rPr>
      </w:pPr>
      <w:bookmarkStart w:id="6" w:name="_ENREF_6"/>
      <w:r w:rsidRPr="00BF347F">
        <w:rPr>
          <w:noProof/>
          <w:lang w:val="en-US"/>
        </w:rPr>
        <w:t xml:space="preserve">Cleveland, W.S. (1985). </w:t>
      </w:r>
      <w:r w:rsidRPr="00BF347F">
        <w:rPr>
          <w:i/>
          <w:noProof/>
          <w:lang w:val="en-US"/>
        </w:rPr>
        <w:t>The elements of graphing data</w:t>
      </w:r>
      <w:r w:rsidRPr="00BF347F">
        <w:rPr>
          <w:noProof/>
          <w:lang w:val="en-US"/>
        </w:rPr>
        <w:t>. Wadsworth Advanced Books and Software: Monterey.</w:t>
      </w:r>
      <w:bookmarkEnd w:id="6"/>
    </w:p>
    <w:p w:rsidR="00BF347F" w:rsidRPr="00BF347F" w:rsidRDefault="00BF347F" w:rsidP="00BF347F">
      <w:pPr>
        <w:ind w:left="720" w:hanging="720"/>
        <w:rPr>
          <w:noProof/>
          <w:lang w:val="en-US"/>
        </w:rPr>
      </w:pPr>
      <w:bookmarkStart w:id="7" w:name="_ENREF_7"/>
      <w:r w:rsidRPr="00BF347F">
        <w:rPr>
          <w:noProof/>
          <w:lang w:val="en-US"/>
        </w:rPr>
        <w:t xml:space="preserve">Cohen, J. (1988). </w:t>
      </w:r>
      <w:r w:rsidRPr="00BF347F">
        <w:rPr>
          <w:i/>
          <w:noProof/>
          <w:lang w:val="en-US"/>
        </w:rPr>
        <w:t>Statistical Power Analysis for the Behavioral Sciences</w:t>
      </w:r>
      <w:r w:rsidRPr="00BF347F">
        <w:rPr>
          <w:noProof/>
          <w:lang w:val="en-US"/>
        </w:rPr>
        <w:t>. New Jersey: Lawrence Erlbaum Associates.</w:t>
      </w:r>
      <w:bookmarkEnd w:id="7"/>
    </w:p>
    <w:p w:rsidR="00BF347F" w:rsidRPr="00BF347F" w:rsidRDefault="00BF347F" w:rsidP="00BF347F">
      <w:pPr>
        <w:ind w:left="720" w:hanging="720"/>
        <w:rPr>
          <w:noProof/>
          <w:lang w:val="en-US"/>
        </w:rPr>
      </w:pPr>
      <w:bookmarkStart w:id="8" w:name="_ENREF_8"/>
      <w:r w:rsidRPr="00BF347F">
        <w:rPr>
          <w:noProof/>
          <w:lang w:val="en-US"/>
        </w:rPr>
        <w:t xml:space="preserve">Cook, N.R. (2007). Use and misuse of the receiver operating characteristic curve in risk prediction. </w:t>
      </w:r>
      <w:r w:rsidRPr="00BF347F">
        <w:rPr>
          <w:i/>
          <w:noProof/>
          <w:lang w:val="en-US"/>
        </w:rPr>
        <w:t>Circulation</w:t>
      </w:r>
      <w:r w:rsidRPr="00BF347F">
        <w:rPr>
          <w:noProof/>
          <w:lang w:val="en-US"/>
        </w:rPr>
        <w:t xml:space="preserve">, </w:t>
      </w:r>
      <w:r w:rsidRPr="00BF347F">
        <w:rPr>
          <w:b/>
          <w:noProof/>
          <w:lang w:val="en-US"/>
        </w:rPr>
        <w:t>115,</w:t>
      </w:r>
      <w:r w:rsidRPr="00BF347F">
        <w:rPr>
          <w:noProof/>
          <w:lang w:val="en-US"/>
        </w:rPr>
        <w:t xml:space="preserve"> 928-35.</w:t>
      </w:r>
      <w:bookmarkEnd w:id="8"/>
    </w:p>
    <w:p w:rsidR="00BF347F" w:rsidRPr="00BF347F" w:rsidRDefault="00BF347F" w:rsidP="00BF347F">
      <w:pPr>
        <w:ind w:left="720" w:hanging="720"/>
        <w:rPr>
          <w:noProof/>
          <w:lang w:val="en-US"/>
        </w:rPr>
      </w:pPr>
      <w:bookmarkStart w:id="9" w:name="_ENREF_9"/>
      <w:r w:rsidRPr="00BF347F">
        <w:rPr>
          <w:noProof/>
          <w:lang w:val="en-US"/>
        </w:rPr>
        <w:t xml:space="preserve">Cook, N.R., Buring, J.E. &amp; Ridker, P.M. (2006). The effect of including C-reactive protein in cardiovascular risk prediction models for women. </w:t>
      </w:r>
      <w:r w:rsidRPr="00BF347F">
        <w:rPr>
          <w:i/>
          <w:noProof/>
          <w:lang w:val="en-US"/>
        </w:rPr>
        <w:t>Ann Intern Med</w:t>
      </w:r>
      <w:r w:rsidRPr="00BF347F">
        <w:rPr>
          <w:noProof/>
          <w:lang w:val="en-US"/>
        </w:rPr>
        <w:t xml:space="preserve">, </w:t>
      </w:r>
      <w:r w:rsidRPr="00BF347F">
        <w:rPr>
          <w:b/>
          <w:noProof/>
          <w:lang w:val="en-US"/>
        </w:rPr>
        <w:t>145,</w:t>
      </w:r>
      <w:r w:rsidRPr="00BF347F">
        <w:rPr>
          <w:noProof/>
          <w:lang w:val="en-US"/>
        </w:rPr>
        <w:t xml:space="preserve"> 21-9.</w:t>
      </w:r>
      <w:bookmarkEnd w:id="9"/>
    </w:p>
    <w:p w:rsidR="00BF347F" w:rsidRPr="00BF347F" w:rsidRDefault="00BF347F" w:rsidP="00BF347F">
      <w:pPr>
        <w:ind w:left="720" w:hanging="720"/>
        <w:rPr>
          <w:noProof/>
          <w:lang w:val="en-US"/>
        </w:rPr>
      </w:pPr>
      <w:bookmarkStart w:id="10" w:name="_ENREF_10"/>
      <w:r w:rsidRPr="00BF347F">
        <w:rPr>
          <w:noProof/>
          <w:lang w:val="en-US"/>
        </w:rPr>
        <w:t xml:space="preserve">Greenland, P., Alpert, J.S., Beller, G.A., Benjamin, E.J., Budoff, M.J., Fayad, Z.A., Foster, E., Hlatky, M.A., Hodgson, J.M., Kushner, F.G., Lauer, M.S., Shaw, L.J., Smith, S.C., Jr., Taylor, A.J., Weintraub, W.S., Wenger, N.K., Jacobs, A.K. &amp; American College of Cardiology Foundation/American Heart Association Task Force on Practice, G. (2010). 2010 ACCF/AHA guideline for assessment of cardiovascular risk in asymptomatic adults: a report of the American College of Cardiology Foundation/American Heart Association Task Force on Practice Guidelines. </w:t>
      </w:r>
      <w:r w:rsidRPr="00BF347F">
        <w:rPr>
          <w:i/>
          <w:noProof/>
          <w:lang w:val="en-US"/>
        </w:rPr>
        <w:t>Circulation</w:t>
      </w:r>
      <w:r w:rsidRPr="00BF347F">
        <w:rPr>
          <w:noProof/>
          <w:lang w:val="en-US"/>
        </w:rPr>
        <w:t xml:space="preserve">, </w:t>
      </w:r>
      <w:r w:rsidRPr="00BF347F">
        <w:rPr>
          <w:b/>
          <w:noProof/>
          <w:lang w:val="en-US"/>
        </w:rPr>
        <w:t>122,</w:t>
      </w:r>
      <w:r w:rsidRPr="00BF347F">
        <w:rPr>
          <w:noProof/>
          <w:lang w:val="en-US"/>
        </w:rPr>
        <w:t xml:space="preserve"> e584-636.</w:t>
      </w:r>
      <w:bookmarkEnd w:id="10"/>
    </w:p>
    <w:p w:rsidR="00BF347F" w:rsidRPr="00BF347F" w:rsidRDefault="00BF347F" w:rsidP="00BF347F">
      <w:pPr>
        <w:ind w:left="720" w:hanging="720"/>
        <w:rPr>
          <w:noProof/>
          <w:lang w:val="en-US"/>
        </w:rPr>
      </w:pPr>
      <w:bookmarkStart w:id="11" w:name="_ENREF_11"/>
      <w:r w:rsidRPr="00BF347F">
        <w:rPr>
          <w:noProof/>
          <w:lang w:val="en-US"/>
        </w:rPr>
        <w:t xml:space="preserve">Hanley, J.A. &amp; McNeil, B.J. (1982). The meaning and use of the area under a receiver operating characteristic (ROC) curve. </w:t>
      </w:r>
      <w:r w:rsidRPr="00BF347F">
        <w:rPr>
          <w:i/>
          <w:noProof/>
          <w:lang w:val="en-US"/>
        </w:rPr>
        <w:t>Radiology</w:t>
      </w:r>
      <w:r w:rsidRPr="00BF347F">
        <w:rPr>
          <w:noProof/>
          <w:lang w:val="en-US"/>
        </w:rPr>
        <w:t xml:space="preserve">, </w:t>
      </w:r>
      <w:r w:rsidRPr="00BF347F">
        <w:rPr>
          <w:b/>
          <w:noProof/>
          <w:lang w:val="en-US"/>
        </w:rPr>
        <w:t>143,</w:t>
      </w:r>
      <w:r w:rsidRPr="00BF347F">
        <w:rPr>
          <w:noProof/>
          <w:lang w:val="en-US"/>
        </w:rPr>
        <w:t xml:space="preserve"> 29-36.</w:t>
      </w:r>
      <w:bookmarkEnd w:id="11"/>
    </w:p>
    <w:p w:rsidR="00BF347F" w:rsidRPr="00BF347F" w:rsidRDefault="00BF347F" w:rsidP="00BF347F">
      <w:pPr>
        <w:ind w:left="720" w:hanging="720"/>
        <w:rPr>
          <w:noProof/>
          <w:lang w:val="en-US"/>
        </w:rPr>
      </w:pPr>
      <w:bookmarkStart w:id="12" w:name="_ENREF_12"/>
      <w:r w:rsidRPr="00BF347F">
        <w:rPr>
          <w:noProof/>
          <w:lang w:val="en-US"/>
        </w:rPr>
        <w:t xml:space="preserve">Harrell, F.E. (2001). </w:t>
      </w:r>
      <w:r w:rsidRPr="00BF347F">
        <w:rPr>
          <w:i/>
          <w:noProof/>
          <w:lang w:val="en-US"/>
        </w:rPr>
        <w:t>Regression modeling strategies: with applications to linear models, logistic regression, and survival analysis</w:t>
      </w:r>
      <w:r w:rsidRPr="00BF347F">
        <w:rPr>
          <w:noProof/>
          <w:lang w:val="en-US"/>
        </w:rPr>
        <w:t>. Springer: New York.</w:t>
      </w:r>
      <w:bookmarkEnd w:id="12"/>
    </w:p>
    <w:p w:rsidR="00BF347F" w:rsidRPr="00BF347F" w:rsidRDefault="00BF347F" w:rsidP="00BF347F">
      <w:pPr>
        <w:ind w:left="720" w:hanging="720"/>
        <w:rPr>
          <w:noProof/>
          <w:lang w:val="en-US"/>
        </w:rPr>
      </w:pPr>
      <w:bookmarkStart w:id="13" w:name="_ENREF_13"/>
      <w:r w:rsidRPr="00BF347F">
        <w:rPr>
          <w:noProof/>
          <w:lang w:val="en-US"/>
        </w:rPr>
        <w:t xml:space="preserve">Hilden, J. &amp; Gerds, T.A. (2013). A note on the evaluation of novel biomarkers: do not rely on integrated discrimination improvement and net reclassification index. </w:t>
      </w:r>
      <w:r w:rsidRPr="00BF347F">
        <w:rPr>
          <w:i/>
          <w:noProof/>
          <w:lang w:val="en-US"/>
        </w:rPr>
        <w:t>Stat Med</w:t>
      </w:r>
      <w:r w:rsidRPr="00BF347F">
        <w:rPr>
          <w:noProof/>
          <w:lang w:val="en-US"/>
        </w:rPr>
        <w:t>.</w:t>
      </w:r>
      <w:bookmarkEnd w:id="13"/>
    </w:p>
    <w:p w:rsidR="00BF347F" w:rsidRPr="00BF347F" w:rsidRDefault="00BF347F" w:rsidP="00BF347F">
      <w:pPr>
        <w:ind w:left="720" w:hanging="720"/>
        <w:rPr>
          <w:noProof/>
          <w:lang w:val="en-US"/>
        </w:rPr>
      </w:pPr>
      <w:bookmarkStart w:id="14" w:name="_ENREF_14"/>
      <w:r w:rsidRPr="00BF347F">
        <w:rPr>
          <w:noProof/>
          <w:lang w:val="en-US"/>
        </w:rPr>
        <w:t xml:space="preserve">Justice, A.C., Covinsky, K.E. &amp; Berlin, J.A. (1999). Assessing the generalizability of prognostic information. </w:t>
      </w:r>
      <w:r w:rsidRPr="00BF347F">
        <w:rPr>
          <w:i/>
          <w:noProof/>
          <w:lang w:val="en-US"/>
        </w:rPr>
        <w:t>Ann Intern Med</w:t>
      </w:r>
      <w:r w:rsidRPr="00BF347F">
        <w:rPr>
          <w:noProof/>
          <w:lang w:val="en-US"/>
        </w:rPr>
        <w:t xml:space="preserve">, </w:t>
      </w:r>
      <w:r w:rsidRPr="00BF347F">
        <w:rPr>
          <w:b/>
          <w:noProof/>
          <w:lang w:val="en-US"/>
        </w:rPr>
        <w:t>130,</w:t>
      </w:r>
      <w:r w:rsidRPr="00BF347F">
        <w:rPr>
          <w:noProof/>
          <w:lang w:val="en-US"/>
        </w:rPr>
        <w:t xml:space="preserve"> 515-24.</w:t>
      </w:r>
      <w:bookmarkEnd w:id="14"/>
    </w:p>
    <w:p w:rsidR="00BF347F" w:rsidRPr="00BF347F" w:rsidRDefault="00BF347F" w:rsidP="00BF347F">
      <w:pPr>
        <w:ind w:left="720" w:hanging="720"/>
        <w:rPr>
          <w:noProof/>
          <w:lang w:val="en-US"/>
        </w:rPr>
      </w:pPr>
      <w:bookmarkStart w:id="15" w:name="_ENREF_15"/>
      <w:r w:rsidRPr="00BF347F">
        <w:rPr>
          <w:noProof/>
          <w:lang w:val="en-US"/>
        </w:rPr>
        <w:t xml:space="preserve">Leening, M.J. &amp; Steyerberg, E.W. (2013). Fibrosis and mortality in patients with dilated cardiomyopathy. </w:t>
      </w:r>
      <w:r w:rsidRPr="00BF347F">
        <w:rPr>
          <w:i/>
          <w:noProof/>
          <w:lang w:val="en-US"/>
        </w:rPr>
        <w:t>JAMA</w:t>
      </w:r>
      <w:r w:rsidRPr="00BF347F">
        <w:rPr>
          <w:noProof/>
          <w:lang w:val="en-US"/>
        </w:rPr>
        <w:t xml:space="preserve">, </w:t>
      </w:r>
      <w:r w:rsidRPr="00BF347F">
        <w:rPr>
          <w:b/>
          <w:noProof/>
          <w:lang w:val="en-US"/>
        </w:rPr>
        <w:t>309,</w:t>
      </w:r>
      <w:r w:rsidRPr="00BF347F">
        <w:rPr>
          <w:noProof/>
          <w:lang w:val="en-US"/>
        </w:rPr>
        <w:t xml:space="preserve"> 2547-8.</w:t>
      </w:r>
      <w:bookmarkEnd w:id="15"/>
    </w:p>
    <w:p w:rsidR="00BF347F" w:rsidRPr="00BF347F" w:rsidRDefault="00BF347F" w:rsidP="00BF347F">
      <w:pPr>
        <w:ind w:left="720" w:hanging="720"/>
        <w:rPr>
          <w:noProof/>
          <w:lang w:val="en-US"/>
        </w:rPr>
      </w:pPr>
      <w:bookmarkStart w:id="16" w:name="_ENREF_16"/>
      <w:r w:rsidRPr="00BF347F">
        <w:rPr>
          <w:noProof/>
          <w:lang w:val="en-US"/>
        </w:rPr>
        <w:t xml:space="preserve">Leening, M.J., Steyerberg, E.W., Van Calster, B., D’Agostino, R.B. &amp; Pencina, M.J. (2014a). Net reclassification improvement and integrated discrimination improvement require calibrated models: relevance from a marker and model perspective. </w:t>
      </w:r>
      <w:r w:rsidRPr="00BF347F">
        <w:rPr>
          <w:i/>
          <w:noProof/>
          <w:lang w:val="en-US"/>
        </w:rPr>
        <w:t>Stat Med</w:t>
      </w:r>
      <w:r w:rsidRPr="00BF347F">
        <w:rPr>
          <w:noProof/>
          <w:lang w:val="en-US"/>
        </w:rPr>
        <w:t xml:space="preserve">, </w:t>
      </w:r>
      <w:r w:rsidRPr="00BF347F">
        <w:rPr>
          <w:b/>
          <w:noProof/>
          <w:lang w:val="en-US"/>
        </w:rPr>
        <w:t>in press</w:t>
      </w:r>
      <w:r w:rsidRPr="00BF347F">
        <w:rPr>
          <w:noProof/>
          <w:lang w:val="en-US"/>
        </w:rPr>
        <w:t>.</w:t>
      </w:r>
      <w:bookmarkEnd w:id="16"/>
    </w:p>
    <w:p w:rsidR="00BF347F" w:rsidRPr="00BF347F" w:rsidRDefault="00BF347F" w:rsidP="00BF347F">
      <w:pPr>
        <w:ind w:left="720" w:hanging="720"/>
        <w:rPr>
          <w:noProof/>
          <w:lang w:val="en-US"/>
        </w:rPr>
      </w:pPr>
      <w:bookmarkStart w:id="17" w:name="_ENREF_17"/>
      <w:r w:rsidRPr="00BF347F">
        <w:rPr>
          <w:noProof/>
          <w:lang w:val="en-US"/>
        </w:rPr>
        <w:lastRenderedPageBreak/>
        <w:t xml:space="preserve">Leening, M.J., Vedder, M.M., Witteman, J.C., Pencina, M.J. &amp; Steyerberg, E.W. (2014b). Net reclassification improvement: computation, interpretation, and controversies: a literature review and clinician's guide. </w:t>
      </w:r>
      <w:r w:rsidRPr="00BF347F">
        <w:rPr>
          <w:i/>
          <w:noProof/>
          <w:lang w:val="en-US"/>
        </w:rPr>
        <w:t>Ann Intern Med</w:t>
      </w:r>
      <w:r w:rsidRPr="00BF347F">
        <w:rPr>
          <w:noProof/>
          <w:lang w:val="en-US"/>
        </w:rPr>
        <w:t xml:space="preserve">, </w:t>
      </w:r>
      <w:r w:rsidRPr="00BF347F">
        <w:rPr>
          <w:b/>
          <w:noProof/>
          <w:lang w:val="en-US"/>
        </w:rPr>
        <w:t>160,</w:t>
      </w:r>
      <w:r w:rsidRPr="00BF347F">
        <w:rPr>
          <w:noProof/>
          <w:lang w:val="en-US"/>
        </w:rPr>
        <w:t xml:space="preserve"> 122-31.</w:t>
      </w:r>
      <w:bookmarkEnd w:id="17"/>
    </w:p>
    <w:p w:rsidR="00BF347F" w:rsidRPr="00BF347F" w:rsidRDefault="00BF347F" w:rsidP="00BF347F">
      <w:pPr>
        <w:ind w:left="720" w:hanging="720"/>
        <w:rPr>
          <w:noProof/>
          <w:lang w:val="en-US"/>
        </w:rPr>
      </w:pPr>
      <w:bookmarkStart w:id="18" w:name="_ENREF_18"/>
      <w:r w:rsidRPr="00BF347F">
        <w:rPr>
          <w:noProof/>
          <w:lang w:val="en-US"/>
        </w:rPr>
        <w:t xml:space="preserve">Localio, A.R. &amp; Goodman, S. (2012). Beyond the usual prediction accuracy metrics: reporting results for clinical decision making. </w:t>
      </w:r>
      <w:r w:rsidRPr="00BF347F">
        <w:rPr>
          <w:i/>
          <w:noProof/>
          <w:lang w:val="en-US"/>
        </w:rPr>
        <w:t>Ann Intern Med</w:t>
      </w:r>
      <w:r w:rsidRPr="00BF347F">
        <w:rPr>
          <w:noProof/>
          <w:lang w:val="en-US"/>
        </w:rPr>
        <w:t xml:space="preserve">, </w:t>
      </w:r>
      <w:r w:rsidRPr="00BF347F">
        <w:rPr>
          <w:b/>
          <w:noProof/>
          <w:lang w:val="en-US"/>
        </w:rPr>
        <w:t>157,</w:t>
      </w:r>
      <w:r w:rsidRPr="00BF347F">
        <w:rPr>
          <w:noProof/>
          <w:lang w:val="en-US"/>
        </w:rPr>
        <w:t xml:space="preserve"> 294-5.</w:t>
      </w:r>
      <w:bookmarkEnd w:id="18"/>
    </w:p>
    <w:p w:rsidR="00BF347F" w:rsidRPr="00BF347F" w:rsidRDefault="00BF347F" w:rsidP="00BF347F">
      <w:pPr>
        <w:ind w:left="720" w:hanging="720"/>
        <w:rPr>
          <w:noProof/>
          <w:lang w:val="en-US"/>
        </w:rPr>
      </w:pPr>
      <w:bookmarkStart w:id="19" w:name="_ENREF_19"/>
      <w:r w:rsidRPr="00BF347F">
        <w:rPr>
          <w:noProof/>
          <w:lang w:val="en-US"/>
        </w:rPr>
        <w:t xml:space="preserve">McGeechan, K., Macaskill, P., Irwig, L., Liew, G. &amp; Wong, T.Y. (2008). Assessing new biomarkers and predictive models for use in clinical practice: a clinician's guide. </w:t>
      </w:r>
      <w:r w:rsidRPr="00BF347F">
        <w:rPr>
          <w:i/>
          <w:noProof/>
          <w:lang w:val="en-US"/>
        </w:rPr>
        <w:t>Arch Intern Med</w:t>
      </w:r>
      <w:r w:rsidRPr="00BF347F">
        <w:rPr>
          <w:noProof/>
          <w:lang w:val="en-US"/>
        </w:rPr>
        <w:t xml:space="preserve">, </w:t>
      </w:r>
      <w:r w:rsidRPr="00BF347F">
        <w:rPr>
          <w:b/>
          <w:noProof/>
          <w:lang w:val="en-US"/>
        </w:rPr>
        <w:t>168,</w:t>
      </w:r>
      <w:r w:rsidRPr="00BF347F">
        <w:rPr>
          <w:noProof/>
          <w:lang w:val="en-US"/>
        </w:rPr>
        <w:t xml:space="preserve"> 2304-10.</w:t>
      </w:r>
      <w:bookmarkEnd w:id="19"/>
    </w:p>
    <w:p w:rsidR="00BF347F" w:rsidRPr="00BF347F" w:rsidRDefault="00BF347F" w:rsidP="00BF347F">
      <w:pPr>
        <w:ind w:left="720" w:hanging="720"/>
        <w:rPr>
          <w:noProof/>
          <w:lang w:val="en-US"/>
        </w:rPr>
      </w:pPr>
      <w:bookmarkStart w:id="20" w:name="_ENREF_20"/>
      <w:r w:rsidRPr="00BF347F">
        <w:rPr>
          <w:noProof/>
          <w:lang w:val="en-US"/>
        </w:rPr>
        <w:t xml:space="preserve">Nagelkerke, N.J. (1991). A note on a general definition of the coefficient of determination. </w:t>
      </w:r>
      <w:r w:rsidRPr="00BF347F">
        <w:rPr>
          <w:i/>
          <w:noProof/>
          <w:lang w:val="en-US"/>
        </w:rPr>
        <w:t>Biometrika</w:t>
      </w:r>
      <w:r w:rsidRPr="00BF347F">
        <w:rPr>
          <w:b/>
          <w:noProof/>
          <w:lang w:val="en-US"/>
        </w:rPr>
        <w:t>,</w:t>
      </w:r>
      <w:r w:rsidRPr="00BF347F">
        <w:rPr>
          <w:noProof/>
          <w:lang w:val="en-US"/>
        </w:rPr>
        <w:t xml:space="preserve"> 691-692.</w:t>
      </w:r>
      <w:bookmarkEnd w:id="20"/>
    </w:p>
    <w:p w:rsidR="00BF347F" w:rsidRPr="00BF347F" w:rsidRDefault="00BF347F" w:rsidP="00BF347F">
      <w:pPr>
        <w:ind w:left="720" w:hanging="720"/>
        <w:rPr>
          <w:noProof/>
          <w:lang w:val="en-US"/>
        </w:rPr>
      </w:pPr>
      <w:bookmarkStart w:id="21" w:name="_ENREF_21"/>
      <w:r w:rsidRPr="00BF347F">
        <w:rPr>
          <w:noProof/>
          <w:lang w:val="en-US"/>
        </w:rPr>
        <w:t xml:space="preserve">Pauker, S.G. &amp; Kassirer, J.P. (1980). The threshold approach to clinical decision making. </w:t>
      </w:r>
      <w:r w:rsidRPr="00BF347F">
        <w:rPr>
          <w:i/>
          <w:noProof/>
          <w:lang w:val="en-US"/>
        </w:rPr>
        <w:t>N Engl J Med</w:t>
      </w:r>
      <w:r w:rsidRPr="00BF347F">
        <w:rPr>
          <w:noProof/>
          <w:lang w:val="en-US"/>
        </w:rPr>
        <w:t xml:space="preserve">, </w:t>
      </w:r>
      <w:r w:rsidRPr="00BF347F">
        <w:rPr>
          <w:b/>
          <w:noProof/>
          <w:lang w:val="en-US"/>
        </w:rPr>
        <w:t>302,</w:t>
      </w:r>
      <w:r w:rsidRPr="00BF347F">
        <w:rPr>
          <w:noProof/>
          <w:lang w:val="en-US"/>
        </w:rPr>
        <w:t xml:space="preserve"> 1109-17.</w:t>
      </w:r>
      <w:bookmarkEnd w:id="21"/>
    </w:p>
    <w:p w:rsidR="00BF347F" w:rsidRPr="00BF347F" w:rsidRDefault="00BF347F" w:rsidP="00BF347F">
      <w:pPr>
        <w:ind w:left="720" w:hanging="720"/>
        <w:rPr>
          <w:noProof/>
          <w:lang w:val="en-US"/>
        </w:rPr>
      </w:pPr>
      <w:bookmarkStart w:id="22" w:name="_ENREF_22"/>
      <w:r w:rsidRPr="00BF347F">
        <w:rPr>
          <w:noProof/>
          <w:lang w:val="en-US"/>
        </w:rPr>
        <w:t xml:space="preserve">Peirce, C.S. (1884). The numerical measure of the success of predictions. </w:t>
      </w:r>
      <w:r w:rsidRPr="00BF347F">
        <w:rPr>
          <w:i/>
          <w:noProof/>
          <w:lang w:val="en-US"/>
        </w:rPr>
        <w:t>Science</w:t>
      </w:r>
      <w:r w:rsidRPr="00BF347F">
        <w:rPr>
          <w:noProof/>
          <w:lang w:val="en-US"/>
        </w:rPr>
        <w:t xml:space="preserve">, </w:t>
      </w:r>
      <w:r w:rsidRPr="00BF347F">
        <w:rPr>
          <w:b/>
          <w:noProof/>
          <w:lang w:val="en-US"/>
        </w:rPr>
        <w:t>4,</w:t>
      </w:r>
      <w:r w:rsidRPr="00BF347F">
        <w:rPr>
          <w:noProof/>
          <w:lang w:val="en-US"/>
        </w:rPr>
        <w:t xml:space="preserve"> 453-454.</w:t>
      </w:r>
      <w:bookmarkEnd w:id="22"/>
    </w:p>
    <w:p w:rsidR="00BF347F" w:rsidRPr="00BF347F" w:rsidRDefault="00BF347F" w:rsidP="00BF347F">
      <w:pPr>
        <w:ind w:left="720" w:hanging="720"/>
        <w:rPr>
          <w:noProof/>
          <w:lang w:val="en-US"/>
        </w:rPr>
      </w:pPr>
      <w:bookmarkStart w:id="23" w:name="_ENREF_23"/>
      <w:r w:rsidRPr="00BF347F">
        <w:rPr>
          <w:noProof/>
          <w:lang w:val="en-US"/>
        </w:rPr>
        <w:t xml:space="preserve">Pencina, M.J., D'Agostino, R.B., Pencina, K.M., Janssens, A.C. &amp; Greenland, P. (2012a). Interpreting incremental value of markers added to risk prediction models. </w:t>
      </w:r>
      <w:r w:rsidRPr="00BF347F">
        <w:rPr>
          <w:i/>
          <w:noProof/>
          <w:lang w:val="en-US"/>
        </w:rPr>
        <w:t>Am J Epidemiol</w:t>
      </w:r>
      <w:r w:rsidRPr="00BF347F">
        <w:rPr>
          <w:noProof/>
          <w:lang w:val="en-US"/>
        </w:rPr>
        <w:t xml:space="preserve">, </w:t>
      </w:r>
      <w:r w:rsidRPr="00BF347F">
        <w:rPr>
          <w:b/>
          <w:noProof/>
          <w:lang w:val="en-US"/>
        </w:rPr>
        <w:t>176,</w:t>
      </w:r>
      <w:r w:rsidRPr="00BF347F">
        <w:rPr>
          <w:noProof/>
          <w:lang w:val="en-US"/>
        </w:rPr>
        <w:t xml:space="preserve"> 473-81.</w:t>
      </w:r>
      <w:bookmarkEnd w:id="23"/>
    </w:p>
    <w:p w:rsidR="00BF347F" w:rsidRPr="00BF347F" w:rsidRDefault="00BF347F" w:rsidP="00BF347F">
      <w:pPr>
        <w:ind w:left="720" w:hanging="720"/>
        <w:rPr>
          <w:noProof/>
          <w:lang w:val="en-US"/>
        </w:rPr>
      </w:pPr>
      <w:bookmarkStart w:id="24" w:name="_ENREF_24"/>
      <w:r w:rsidRPr="00BF347F">
        <w:rPr>
          <w:noProof/>
          <w:lang w:val="en-US"/>
        </w:rPr>
        <w:t xml:space="preserve">Pencina, M.J., D'Agostino, R.B., Sr., D'Agostino, R.B., Jr. &amp; Vasan, R.S. (2008). Evaluating the added predictive ability of a new marker: from area under the ROC curve to reclassification and beyond. </w:t>
      </w:r>
      <w:r w:rsidRPr="00BF347F">
        <w:rPr>
          <w:i/>
          <w:noProof/>
          <w:lang w:val="en-US"/>
        </w:rPr>
        <w:t>Stat Med</w:t>
      </w:r>
      <w:r w:rsidRPr="00BF347F">
        <w:rPr>
          <w:noProof/>
          <w:lang w:val="en-US"/>
        </w:rPr>
        <w:t xml:space="preserve">, </w:t>
      </w:r>
      <w:r w:rsidRPr="00BF347F">
        <w:rPr>
          <w:b/>
          <w:noProof/>
          <w:lang w:val="en-US"/>
        </w:rPr>
        <w:t>27,</w:t>
      </w:r>
      <w:r w:rsidRPr="00BF347F">
        <w:rPr>
          <w:noProof/>
          <w:lang w:val="en-US"/>
        </w:rPr>
        <w:t xml:space="preserve"> 157-72; discussion 207-12.</w:t>
      </w:r>
      <w:bookmarkEnd w:id="24"/>
    </w:p>
    <w:p w:rsidR="00BF347F" w:rsidRPr="00BF347F" w:rsidRDefault="00BF347F" w:rsidP="00BF347F">
      <w:pPr>
        <w:ind w:left="720" w:hanging="720"/>
        <w:rPr>
          <w:noProof/>
          <w:lang w:val="en-US"/>
        </w:rPr>
      </w:pPr>
      <w:bookmarkStart w:id="25" w:name="_ENREF_25"/>
      <w:r w:rsidRPr="00BF347F">
        <w:rPr>
          <w:noProof/>
          <w:lang w:val="en-US"/>
        </w:rPr>
        <w:t xml:space="preserve">Pencina, M.J., D'Agostino, R.B., Sr. &amp; Demler, O.V. (2012b). Novel metrics for evaluating improvement in discrimination: net reclassification and integrated discrimination improvement for normal variables and nested models. </w:t>
      </w:r>
      <w:r w:rsidRPr="00BF347F">
        <w:rPr>
          <w:i/>
          <w:noProof/>
          <w:lang w:val="en-US"/>
        </w:rPr>
        <w:t>Stat Med</w:t>
      </w:r>
      <w:r w:rsidRPr="00BF347F">
        <w:rPr>
          <w:noProof/>
          <w:lang w:val="en-US"/>
        </w:rPr>
        <w:t xml:space="preserve">, </w:t>
      </w:r>
      <w:r w:rsidRPr="00BF347F">
        <w:rPr>
          <w:b/>
          <w:noProof/>
          <w:lang w:val="en-US"/>
        </w:rPr>
        <w:t>31,</w:t>
      </w:r>
      <w:r w:rsidRPr="00BF347F">
        <w:rPr>
          <w:noProof/>
          <w:lang w:val="en-US"/>
        </w:rPr>
        <w:t xml:space="preserve"> 101-13.</w:t>
      </w:r>
      <w:bookmarkEnd w:id="25"/>
    </w:p>
    <w:p w:rsidR="00BF347F" w:rsidRPr="00BF347F" w:rsidRDefault="00BF347F" w:rsidP="00BF347F">
      <w:pPr>
        <w:ind w:left="720" w:hanging="720"/>
        <w:rPr>
          <w:noProof/>
          <w:lang w:val="en-US"/>
        </w:rPr>
      </w:pPr>
      <w:bookmarkStart w:id="26" w:name="_ENREF_26"/>
      <w:r w:rsidRPr="00BF347F">
        <w:rPr>
          <w:noProof/>
          <w:lang w:val="en-US"/>
        </w:rPr>
        <w:t xml:space="preserve">Pencina, M.J., D'Agostino, R.B., Sr. &amp; Steyerberg, E.W. (2011). Extensions of net reclassification improvement calculations to measure usefulness of new biomarkers. </w:t>
      </w:r>
      <w:r w:rsidRPr="00BF347F">
        <w:rPr>
          <w:i/>
          <w:noProof/>
          <w:lang w:val="en-US"/>
        </w:rPr>
        <w:t>Stat Med</w:t>
      </w:r>
      <w:r w:rsidRPr="00BF347F">
        <w:rPr>
          <w:noProof/>
          <w:lang w:val="en-US"/>
        </w:rPr>
        <w:t xml:space="preserve">, </w:t>
      </w:r>
      <w:r w:rsidRPr="00BF347F">
        <w:rPr>
          <w:b/>
          <w:noProof/>
          <w:lang w:val="en-US"/>
        </w:rPr>
        <w:t>30,</w:t>
      </w:r>
      <w:r w:rsidRPr="00BF347F">
        <w:rPr>
          <w:noProof/>
          <w:lang w:val="en-US"/>
        </w:rPr>
        <w:t xml:space="preserve"> 11-21.</w:t>
      </w:r>
      <w:bookmarkEnd w:id="26"/>
    </w:p>
    <w:p w:rsidR="00BF347F" w:rsidRPr="00BF347F" w:rsidRDefault="00BF347F" w:rsidP="00BF347F">
      <w:pPr>
        <w:ind w:left="720" w:hanging="720"/>
        <w:rPr>
          <w:noProof/>
          <w:lang w:val="en-US"/>
        </w:rPr>
      </w:pPr>
      <w:bookmarkStart w:id="27" w:name="_ENREF_27"/>
      <w:r w:rsidRPr="00BF347F">
        <w:rPr>
          <w:noProof/>
          <w:lang w:val="en-US"/>
        </w:rPr>
        <w:t xml:space="preserve">Pencina, M.J., D'Agostino, R.B. &amp; Vasan, R.S. (2010). Statistical methods for assessment of added usefulness of new biomarkers. </w:t>
      </w:r>
      <w:r w:rsidRPr="00BF347F">
        <w:rPr>
          <w:i/>
          <w:noProof/>
          <w:lang w:val="en-US"/>
        </w:rPr>
        <w:t>Clin Chem Lab Med</w:t>
      </w:r>
      <w:r w:rsidRPr="00BF347F">
        <w:rPr>
          <w:noProof/>
          <w:lang w:val="en-US"/>
        </w:rPr>
        <w:t xml:space="preserve">, </w:t>
      </w:r>
      <w:r w:rsidRPr="00BF347F">
        <w:rPr>
          <w:b/>
          <w:noProof/>
          <w:lang w:val="en-US"/>
        </w:rPr>
        <w:t>48,</w:t>
      </w:r>
      <w:r w:rsidRPr="00BF347F">
        <w:rPr>
          <w:noProof/>
          <w:lang w:val="en-US"/>
        </w:rPr>
        <w:t xml:space="preserve"> 1703-11.</w:t>
      </w:r>
      <w:bookmarkEnd w:id="27"/>
    </w:p>
    <w:p w:rsidR="00BF347F" w:rsidRPr="00BF347F" w:rsidRDefault="00BF347F" w:rsidP="00BF347F">
      <w:pPr>
        <w:ind w:left="720" w:hanging="720"/>
        <w:rPr>
          <w:noProof/>
        </w:rPr>
      </w:pPr>
      <w:bookmarkStart w:id="28" w:name="_ENREF_28"/>
      <w:r w:rsidRPr="00BF347F">
        <w:rPr>
          <w:noProof/>
          <w:lang w:val="en-US"/>
        </w:rPr>
        <w:t xml:space="preserve">Pepe, M.S., Feng, Z., Huang, Y., Longton, G., Prentice, R., Thompson, I.M. &amp; Zheng, Y. (2008). Integrating the predictiveness of a marker with its performance as a classifier. </w:t>
      </w:r>
      <w:r w:rsidRPr="00BF347F">
        <w:rPr>
          <w:i/>
          <w:noProof/>
        </w:rPr>
        <w:t>Am J Epidemiol</w:t>
      </w:r>
      <w:r w:rsidRPr="00BF347F">
        <w:rPr>
          <w:noProof/>
        </w:rPr>
        <w:t xml:space="preserve">, </w:t>
      </w:r>
      <w:r w:rsidRPr="00BF347F">
        <w:rPr>
          <w:b/>
          <w:noProof/>
        </w:rPr>
        <w:t>167,</w:t>
      </w:r>
      <w:r w:rsidRPr="00BF347F">
        <w:rPr>
          <w:noProof/>
        </w:rPr>
        <w:t xml:space="preserve"> 362-8.</w:t>
      </w:r>
      <w:bookmarkEnd w:id="28"/>
    </w:p>
    <w:p w:rsidR="00BF347F" w:rsidRPr="00BF347F" w:rsidRDefault="00BF347F" w:rsidP="00BF347F">
      <w:pPr>
        <w:ind w:left="720" w:hanging="720"/>
        <w:rPr>
          <w:noProof/>
          <w:lang w:val="en-US"/>
        </w:rPr>
      </w:pPr>
      <w:bookmarkStart w:id="29" w:name="_ENREF_29"/>
      <w:r w:rsidRPr="00BF347F">
        <w:rPr>
          <w:noProof/>
        </w:rPr>
        <w:t xml:space="preserve">Postmus, D., de Graaf, G., Hillege, H.L., Steyerberg, E.W. &amp; Buskens, E. (2012). </w:t>
      </w:r>
      <w:r w:rsidRPr="00BF347F">
        <w:rPr>
          <w:noProof/>
          <w:lang w:val="en-US"/>
        </w:rPr>
        <w:t xml:space="preserve">A method for the early health technology assessment of novel biomarker measurement in primary prevention programs. </w:t>
      </w:r>
      <w:r w:rsidRPr="00BF347F">
        <w:rPr>
          <w:i/>
          <w:noProof/>
          <w:lang w:val="en-US"/>
        </w:rPr>
        <w:t>Stat Med</w:t>
      </w:r>
      <w:r w:rsidRPr="00BF347F">
        <w:rPr>
          <w:noProof/>
          <w:lang w:val="en-US"/>
        </w:rPr>
        <w:t xml:space="preserve">, </w:t>
      </w:r>
      <w:r w:rsidRPr="00BF347F">
        <w:rPr>
          <w:b/>
          <w:noProof/>
          <w:lang w:val="en-US"/>
        </w:rPr>
        <w:t>31,</w:t>
      </w:r>
      <w:r w:rsidRPr="00BF347F">
        <w:rPr>
          <w:noProof/>
          <w:lang w:val="en-US"/>
        </w:rPr>
        <w:t xml:space="preserve"> 2733-44.</w:t>
      </w:r>
      <w:bookmarkEnd w:id="29"/>
    </w:p>
    <w:p w:rsidR="00BF347F" w:rsidRPr="00BF347F" w:rsidRDefault="00BF347F" w:rsidP="00BF347F">
      <w:pPr>
        <w:ind w:left="720" w:hanging="720"/>
        <w:rPr>
          <w:noProof/>
          <w:lang w:val="en-US"/>
        </w:rPr>
      </w:pPr>
      <w:bookmarkStart w:id="30" w:name="_ENREF_30"/>
      <w:r w:rsidRPr="00BF347F">
        <w:rPr>
          <w:noProof/>
          <w:lang w:val="en-US"/>
        </w:rPr>
        <w:t xml:space="preserve">Ridker, P.M., Buring, J.E., Rifai, N. &amp; Cook, N.R. (2007). Development and validation of improved algorithms for the assessment of global cardiovascular risk in women: the Reynolds Risk Score. </w:t>
      </w:r>
      <w:r w:rsidRPr="00BF347F">
        <w:rPr>
          <w:i/>
          <w:noProof/>
          <w:lang w:val="en-US"/>
        </w:rPr>
        <w:t>JAMA</w:t>
      </w:r>
      <w:r w:rsidRPr="00BF347F">
        <w:rPr>
          <w:noProof/>
          <w:lang w:val="en-US"/>
        </w:rPr>
        <w:t xml:space="preserve">, </w:t>
      </w:r>
      <w:r w:rsidRPr="00BF347F">
        <w:rPr>
          <w:b/>
          <w:noProof/>
          <w:lang w:val="en-US"/>
        </w:rPr>
        <w:t>297,</w:t>
      </w:r>
      <w:r w:rsidRPr="00BF347F">
        <w:rPr>
          <w:noProof/>
          <w:lang w:val="en-US"/>
        </w:rPr>
        <w:t xml:space="preserve"> 611-9.</w:t>
      </w:r>
      <w:bookmarkEnd w:id="30"/>
    </w:p>
    <w:p w:rsidR="00BF347F" w:rsidRPr="00BF347F" w:rsidRDefault="00BF347F" w:rsidP="00BF347F">
      <w:pPr>
        <w:ind w:left="720" w:hanging="720"/>
        <w:rPr>
          <w:noProof/>
          <w:lang w:val="en-US"/>
        </w:rPr>
      </w:pPr>
      <w:bookmarkStart w:id="31" w:name="_ENREF_31"/>
      <w:r w:rsidRPr="00BF347F">
        <w:rPr>
          <w:noProof/>
          <w:lang w:val="en-US"/>
        </w:rPr>
        <w:t xml:space="preserve">Royston, P. &amp; Altman, D.G. (2010). Visualizing and assessing discrimination in the logistic regression model. </w:t>
      </w:r>
      <w:r w:rsidRPr="00BF347F">
        <w:rPr>
          <w:i/>
          <w:noProof/>
          <w:lang w:val="en-US"/>
        </w:rPr>
        <w:t>Stat Med</w:t>
      </w:r>
      <w:r w:rsidRPr="00BF347F">
        <w:rPr>
          <w:noProof/>
          <w:lang w:val="en-US"/>
        </w:rPr>
        <w:t xml:space="preserve">, </w:t>
      </w:r>
      <w:r w:rsidRPr="00BF347F">
        <w:rPr>
          <w:b/>
          <w:noProof/>
          <w:lang w:val="en-US"/>
        </w:rPr>
        <w:t>29,</w:t>
      </w:r>
      <w:r w:rsidRPr="00BF347F">
        <w:rPr>
          <w:noProof/>
          <w:lang w:val="en-US"/>
        </w:rPr>
        <w:t xml:space="preserve"> 2508-20.</w:t>
      </w:r>
      <w:bookmarkEnd w:id="31"/>
    </w:p>
    <w:p w:rsidR="00BF347F" w:rsidRPr="00BF347F" w:rsidRDefault="00BF347F" w:rsidP="00BF347F">
      <w:pPr>
        <w:ind w:left="720" w:hanging="720"/>
        <w:rPr>
          <w:noProof/>
          <w:lang w:val="en-US"/>
        </w:rPr>
      </w:pPr>
      <w:bookmarkStart w:id="32" w:name="_ENREF_32"/>
      <w:r w:rsidRPr="00BF347F">
        <w:rPr>
          <w:noProof/>
          <w:lang w:val="en-US"/>
        </w:rPr>
        <w:t xml:space="preserve">Steyerberg, E.W. (2009). </w:t>
      </w:r>
      <w:r w:rsidRPr="00BF347F">
        <w:rPr>
          <w:i/>
          <w:noProof/>
          <w:lang w:val="en-US"/>
        </w:rPr>
        <w:t>Clinical prediction models: a practical approach to development, validation, and updating</w:t>
      </w:r>
      <w:r w:rsidRPr="00BF347F">
        <w:rPr>
          <w:noProof/>
          <w:lang w:val="en-US"/>
        </w:rPr>
        <w:t>. Springer: New York.</w:t>
      </w:r>
      <w:bookmarkEnd w:id="32"/>
    </w:p>
    <w:p w:rsidR="00BF347F" w:rsidRPr="00BF347F" w:rsidRDefault="00BF347F" w:rsidP="00BF347F">
      <w:pPr>
        <w:ind w:left="720" w:hanging="720"/>
        <w:rPr>
          <w:noProof/>
          <w:lang w:val="en-US"/>
        </w:rPr>
      </w:pPr>
      <w:bookmarkStart w:id="33" w:name="_ENREF_33"/>
      <w:r w:rsidRPr="00BF347F">
        <w:rPr>
          <w:noProof/>
          <w:lang w:val="en-US"/>
        </w:rPr>
        <w:t xml:space="preserve">Steyerberg, E.W., Harrell, F.E., Jr., Borsboom, G.J., Eijkemans, M.J., Vergouwe, Y. &amp; Habbema, J.D. (2001). Internal validation of predictive models: efficiency </w:t>
      </w:r>
      <w:r w:rsidRPr="00BF347F">
        <w:rPr>
          <w:noProof/>
          <w:lang w:val="en-US"/>
        </w:rPr>
        <w:lastRenderedPageBreak/>
        <w:t xml:space="preserve">of some procedures for logistic regression analysis. </w:t>
      </w:r>
      <w:r w:rsidRPr="00BF347F">
        <w:rPr>
          <w:i/>
          <w:noProof/>
          <w:lang w:val="en-US"/>
        </w:rPr>
        <w:t>J Clin Epidemiol</w:t>
      </w:r>
      <w:r w:rsidRPr="00BF347F">
        <w:rPr>
          <w:noProof/>
          <w:lang w:val="en-US"/>
        </w:rPr>
        <w:t xml:space="preserve">, </w:t>
      </w:r>
      <w:r w:rsidRPr="00BF347F">
        <w:rPr>
          <w:b/>
          <w:noProof/>
          <w:lang w:val="en-US"/>
        </w:rPr>
        <w:t>54,</w:t>
      </w:r>
      <w:r w:rsidRPr="00BF347F">
        <w:rPr>
          <w:noProof/>
          <w:lang w:val="en-US"/>
        </w:rPr>
        <w:t xml:space="preserve"> 774-81.</w:t>
      </w:r>
      <w:bookmarkEnd w:id="33"/>
    </w:p>
    <w:p w:rsidR="00BF347F" w:rsidRPr="00BF347F" w:rsidRDefault="00BF347F" w:rsidP="00BF347F">
      <w:pPr>
        <w:ind w:left="720" w:hanging="720"/>
        <w:rPr>
          <w:noProof/>
          <w:lang w:val="en-US"/>
        </w:rPr>
      </w:pPr>
      <w:bookmarkStart w:id="34" w:name="_ENREF_34"/>
      <w:r w:rsidRPr="00BF347F">
        <w:rPr>
          <w:noProof/>
          <w:lang w:val="en-US"/>
        </w:rPr>
        <w:t xml:space="preserve">Steyerberg, E.W., Moons, K.G., van der Windt, D.A., Hayden, J.A., Perel, P., Schroter, S., Riley, R.D., Hemingway, H., Altman, D.G. &amp; Group, P. (2013). Prognosis Research Strategy (PROGRESS) 3: prognostic model research. </w:t>
      </w:r>
      <w:r w:rsidRPr="00BF347F">
        <w:rPr>
          <w:i/>
          <w:noProof/>
          <w:lang w:val="en-US"/>
        </w:rPr>
        <w:t>PLoS Med</w:t>
      </w:r>
      <w:r w:rsidRPr="00BF347F">
        <w:rPr>
          <w:noProof/>
          <w:lang w:val="en-US"/>
        </w:rPr>
        <w:t xml:space="preserve">, </w:t>
      </w:r>
      <w:r w:rsidRPr="00BF347F">
        <w:rPr>
          <w:b/>
          <w:noProof/>
          <w:lang w:val="en-US"/>
        </w:rPr>
        <w:t>10,</w:t>
      </w:r>
      <w:r w:rsidRPr="00BF347F">
        <w:rPr>
          <w:noProof/>
          <w:lang w:val="en-US"/>
        </w:rPr>
        <w:t xml:space="preserve"> e1001381.</w:t>
      </w:r>
      <w:bookmarkEnd w:id="34"/>
    </w:p>
    <w:p w:rsidR="00BF347F" w:rsidRPr="00BF347F" w:rsidRDefault="00BF347F" w:rsidP="00BF347F">
      <w:pPr>
        <w:ind w:left="720" w:hanging="720"/>
        <w:rPr>
          <w:noProof/>
          <w:lang w:val="en-US"/>
        </w:rPr>
      </w:pPr>
      <w:bookmarkStart w:id="35" w:name="_ENREF_35"/>
      <w:r w:rsidRPr="00BF347F">
        <w:rPr>
          <w:noProof/>
          <w:lang w:val="en-US"/>
        </w:rPr>
        <w:t xml:space="preserve">Steyerberg, E.W. &amp; Pencina, M.J. (2010). Reclassification calculations for persons with incomplete follow-up. </w:t>
      </w:r>
      <w:r w:rsidRPr="00BF347F">
        <w:rPr>
          <w:i/>
          <w:noProof/>
          <w:lang w:val="en-US"/>
        </w:rPr>
        <w:t>Ann Intern Med</w:t>
      </w:r>
      <w:r w:rsidRPr="00BF347F">
        <w:rPr>
          <w:noProof/>
          <w:lang w:val="en-US"/>
        </w:rPr>
        <w:t xml:space="preserve">, </w:t>
      </w:r>
      <w:r w:rsidRPr="00BF347F">
        <w:rPr>
          <w:b/>
          <w:noProof/>
          <w:lang w:val="en-US"/>
        </w:rPr>
        <w:t>152,</w:t>
      </w:r>
      <w:r w:rsidRPr="00BF347F">
        <w:rPr>
          <w:noProof/>
          <w:lang w:val="en-US"/>
        </w:rPr>
        <w:t xml:space="preserve"> 195-7.</w:t>
      </w:r>
      <w:bookmarkEnd w:id="35"/>
    </w:p>
    <w:p w:rsidR="00BF347F" w:rsidRPr="00BF347F" w:rsidRDefault="00BF347F" w:rsidP="00BF347F">
      <w:pPr>
        <w:ind w:left="720" w:hanging="720"/>
        <w:rPr>
          <w:noProof/>
          <w:lang w:val="en-US"/>
        </w:rPr>
      </w:pPr>
      <w:bookmarkStart w:id="36" w:name="_ENREF_36"/>
      <w:r w:rsidRPr="00BF347F">
        <w:rPr>
          <w:noProof/>
          <w:lang w:val="en-US"/>
        </w:rPr>
        <w:t xml:space="preserve">Taylor, F., Huffman, M.D., Macedo, A.F., Moore, T.H., Burke, M., Davey Smith, G., Ward, K. &amp; Ebrahim, S. (2013). Statins for the primary prevention of cardiovascular disease. </w:t>
      </w:r>
      <w:r w:rsidRPr="00BF347F">
        <w:rPr>
          <w:i/>
          <w:noProof/>
          <w:lang w:val="en-US"/>
        </w:rPr>
        <w:t>Cochrane Database Syst Rev</w:t>
      </w:r>
      <w:r w:rsidRPr="00BF347F">
        <w:rPr>
          <w:noProof/>
          <w:lang w:val="en-US"/>
        </w:rPr>
        <w:t xml:space="preserve">, </w:t>
      </w:r>
      <w:r w:rsidRPr="00BF347F">
        <w:rPr>
          <w:b/>
          <w:noProof/>
          <w:lang w:val="en-US"/>
        </w:rPr>
        <w:t>1,</w:t>
      </w:r>
      <w:r w:rsidRPr="00BF347F">
        <w:rPr>
          <w:noProof/>
          <w:lang w:val="en-US"/>
        </w:rPr>
        <w:t xml:space="preserve"> CD004816.</w:t>
      </w:r>
      <w:bookmarkEnd w:id="36"/>
    </w:p>
    <w:p w:rsidR="00BF347F" w:rsidRPr="00BF347F" w:rsidRDefault="00BF347F" w:rsidP="00BF347F">
      <w:pPr>
        <w:ind w:left="720" w:hanging="720"/>
        <w:rPr>
          <w:noProof/>
          <w:lang w:val="en-US"/>
        </w:rPr>
      </w:pPr>
      <w:bookmarkStart w:id="37" w:name="_ENREF_37"/>
      <w:r w:rsidRPr="00BF347F">
        <w:rPr>
          <w:noProof/>
          <w:lang w:val="en-US"/>
        </w:rPr>
        <w:t xml:space="preserve">Tjur, T. (2009). Coefficients of Determination in Logistic Regression Models—A New Proposal: The Coefficient of Discrimination. </w:t>
      </w:r>
      <w:r w:rsidRPr="00BF347F">
        <w:rPr>
          <w:i/>
          <w:noProof/>
          <w:lang w:val="en-US"/>
        </w:rPr>
        <w:t>The American Statistician</w:t>
      </w:r>
      <w:r w:rsidRPr="00BF347F">
        <w:rPr>
          <w:noProof/>
          <w:lang w:val="en-US"/>
        </w:rPr>
        <w:t xml:space="preserve">, </w:t>
      </w:r>
      <w:r w:rsidRPr="00BF347F">
        <w:rPr>
          <w:b/>
          <w:noProof/>
          <w:lang w:val="en-US"/>
        </w:rPr>
        <w:t>63,</w:t>
      </w:r>
      <w:r w:rsidRPr="00BF347F">
        <w:rPr>
          <w:noProof/>
          <w:lang w:val="en-US"/>
        </w:rPr>
        <w:t xml:space="preserve"> 366-372.</w:t>
      </w:r>
      <w:bookmarkEnd w:id="37"/>
    </w:p>
    <w:p w:rsidR="00BF347F" w:rsidRPr="00BF347F" w:rsidRDefault="00BF347F" w:rsidP="00BF347F">
      <w:pPr>
        <w:ind w:left="720" w:hanging="720"/>
        <w:rPr>
          <w:noProof/>
        </w:rPr>
      </w:pPr>
      <w:bookmarkStart w:id="38" w:name="_ENREF_38"/>
      <w:r w:rsidRPr="00BF347F">
        <w:rPr>
          <w:noProof/>
          <w:lang w:val="en-US"/>
        </w:rPr>
        <w:t xml:space="preserve">Uno, H., Cai, T., Pencina, M.J., D'Agostino, R.B. &amp; Wei, L.J. (2011). On the C-statistics for evaluating overall adequacy of risk prediction procedures with censored survival data. </w:t>
      </w:r>
      <w:r w:rsidRPr="00BF347F">
        <w:rPr>
          <w:i/>
          <w:noProof/>
        </w:rPr>
        <w:t>Stat Med</w:t>
      </w:r>
      <w:r w:rsidRPr="00BF347F">
        <w:rPr>
          <w:noProof/>
        </w:rPr>
        <w:t xml:space="preserve">, </w:t>
      </w:r>
      <w:r w:rsidRPr="00BF347F">
        <w:rPr>
          <w:b/>
          <w:noProof/>
        </w:rPr>
        <w:t>30,</w:t>
      </w:r>
      <w:r w:rsidRPr="00BF347F">
        <w:rPr>
          <w:noProof/>
        </w:rPr>
        <w:t xml:space="preserve"> 1105-17.</w:t>
      </w:r>
      <w:bookmarkEnd w:id="38"/>
    </w:p>
    <w:p w:rsidR="00BF347F" w:rsidRPr="00BF347F" w:rsidRDefault="00BF347F" w:rsidP="00BF347F">
      <w:pPr>
        <w:ind w:left="720" w:hanging="720"/>
        <w:rPr>
          <w:noProof/>
          <w:lang w:val="en-US"/>
        </w:rPr>
      </w:pPr>
      <w:bookmarkStart w:id="39" w:name="_ENREF_39"/>
      <w:r w:rsidRPr="00BF347F">
        <w:rPr>
          <w:noProof/>
        </w:rPr>
        <w:t xml:space="preserve">Van Calster, B., Steyerberg, E.W., D'Agostino, R.B., Sr. </w:t>
      </w:r>
      <w:r w:rsidRPr="00BF347F">
        <w:rPr>
          <w:noProof/>
          <w:lang w:val="en-US"/>
        </w:rPr>
        <w:t xml:space="preserve">&amp; Pencina, M.J. (2014). Sensitivity and specificity can change in opposite directions when new predictive markers are added to risk models. </w:t>
      </w:r>
      <w:r w:rsidRPr="00BF347F">
        <w:rPr>
          <w:i/>
          <w:noProof/>
          <w:lang w:val="en-US"/>
        </w:rPr>
        <w:t>Med Decis Making</w:t>
      </w:r>
      <w:r w:rsidRPr="00BF347F">
        <w:rPr>
          <w:noProof/>
          <w:lang w:val="en-US"/>
        </w:rPr>
        <w:t xml:space="preserve">, </w:t>
      </w:r>
      <w:r w:rsidRPr="00BF347F">
        <w:rPr>
          <w:b/>
          <w:noProof/>
          <w:lang w:val="en-US"/>
        </w:rPr>
        <w:t>34,</w:t>
      </w:r>
      <w:r w:rsidRPr="00BF347F">
        <w:rPr>
          <w:noProof/>
          <w:lang w:val="en-US"/>
        </w:rPr>
        <w:t xml:space="preserve"> 513-22.</w:t>
      </w:r>
      <w:bookmarkEnd w:id="39"/>
    </w:p>
    <w:p w:rsidR="00BF347F" w:rsidRPr="00BF347F" w:rsidRDefault="00BF347F" w:rsidP="00BF347F">
      <w:pPr>
        <w:ind w:left="720" w:hanging="720"/>
        <w:rPr>
          <w:noProof/>
          <w:lang w:val="en-US"/>
        </w:rPr>
      </w:pPr>
      <w:bookmarkStart w:id="40" w:name="_ENREF_40"/>
      <w:r w:rsidRPr="00BF347F">
        <w:rPr>
          <w:noProof/>
          <w:lang w:val="en-US"/>
        </w:rPr>
        <w:t xml:space="preserve">Van Calster, B., Vickers, A.J., Pencina, M.J., Baker, S.G., Timmerman, D. &amp; Steyerberg, E.W. (2013). Evaluation of markers and risk prediction models: overview of relationships between NRI and decision-analytic measures. </w:t>
      </w:r>
      <w:r w:rsidRPr="00BF347F">
        <w:rPr>
          <w:i/>
          <w:noProof/>
          <w:lang w:val="en-US"/>
        </w:rPr>
        <w:t>Med Decis Making</w:t>
      </w:r>
      <w:r w:rsidRPr="00BF347F">
        <w:rPr>
          <w:noProof/>
          <w:lang w:val="en-US"/>
        </w:rPr>
        <w:t xml:space="preserve">, </w:t>
      </w:r>
      <w:r w:rsidRPr="00BF347F">
        <w:rPr>
          <w:b/>
          <w:noProof/>
          <w:lang w:val="en-US"/>
        </w:rPr>
        <w:t>33,</w:t>
      </w:r>
      <w:r w:rsidRPr="00BF347F">
        <w:rPr>
          <w:noProof/>
          <w:lang w:val="en-US"/>
        </w:rPr>
        <w:t xml:space="preserve"> 490-501.</w:t>
      </w:r>
      <w:bookmarkEnd w:id="40"/>
    </w:p>
    <w:p w:rsidR="00BF347F" w:rsidRPr="00BF347F" w:rsidRDefault="00BF347F" w:rsidP="00BF347F">
      <w:pPr>
        <w:ind w:left="720" w:hanging="720"/>
        <w:rPr>
          <w:noProof/>
          <w:lang w:val="en-US"/>
        </w:rPr>
      </w:pPr>
      <w:bookmarkStart w:id="41" w:name="_ENREF_41"/>
      <w:r w:rsidRPr="00BF347F">
        <w:rPr>
          <w:noProof/>
          <w:lang w:val="en-US"/>
        </w:rPr>
        <w:t xml:space="preserve">Vickers, A.J., Cronin, A.M., Elkin, E.B. &amp; Gonen, M. (2008). Extensions to decision curve analysis, a novel method for evaluating diagnostic tests, prediction models and molecular markers. </w:t>
      </w:r>
      <w:r w:rsidRPr="00BF347F">
        <w:rPr>
          <w:i/>
          <w:noProof/>
          <w:lang w:val="en-US"/>
        </w:rPr>
        <w:t>BMC Med Inform Decis Mak</w:t>
      </w:r>
      <w:r w:rsidRPr="00BF347F">
        <w:rPr>
          <w:noProof/>
          <w:lang w:val="en-US"/>
        </w:rPr>
        <w:t xml:space="preserve">, </w:t>
      </w:r>
      <w:r w:rsidRPr="00BF347F">
        <w:rPr>
          <w:b/>
          <w:noProof/>
          <w:lang w:val="en-US"/>
        </w:rPr>
        <w:t>8,</w:t>
      </w:r>
      <w:r w:rsidRPr="00BF347F">
        <w:rPr>
          <w:noProof/>
          <w:lang w:val="en-US"/>
        </w:rPr>
        <w:t xml:space="preserve"> 53.</w:t>
      </w:r>
      <w:bookmarkEnd w:id="41"/>
    </w:p>
    <w:p w:rsidR="00BF347F" w:rsidRPr="00BF347F" w:rsidRDefault="00BF347F" w:rsidP="00BF347F">
      <w:pPr>
        <w:ind w:left="720" w:hanging="720"/>
        <w:rPr>
          <w:noProof/>
          <w:lang w:val="en-US"/>
        </w:rPr>
      </w:pPr>
      <w:bookmarkStart w:id="42" w:name="_ENREF_42"/>
      <w:r w:rsidRPr="00BF347F">
        <w:rPr>
          <w:noProof/>
          <w:lang w:val="en-US"/>
        </w:rPr>
        <w:t xml:space="preserve">Vickers, A.J. &amp; Elkin, E.B. (2006). Decision curve analysis: a novel method for evaluating prediction models. </w:t>
      </w:r>
      <w:r w:rsidRPr="00BF347F">
        <w:rPr>
          <w:i/>
          <w:noProof/>
          <w:lang w:val="en-US"/>
        </w:rPr>
        <w:t>Med Decis Making</w:t>
      </w:r>
      <w:r w:rsidRPr="00BF347F">
        <w:rPr>
          <w:noProof/>
          <w:lang w:val="en-US"/>
        </w:rPr>
        <w:t xml:space="preserve">, </w:t>
      </w:r>
      <w:r w:rsidRPr="00BF347F">
        <w:rPr>
          <w:b/>
          <w:noProof/>
          <w:lang w:val="en-US"/>
        </w:rPr>
        <w:t>26,</w:t>
      </w:r>
      <w:r w:rsidRPr="00BF347F">
        <w:rPr>
          <w:noProof/>
          <w:lang w:val="en-US"/>
        </w:rPr>
        <w:t xml:space="preserve"> 565-74.</w:t>
      </w:r>
      <w:bookmarkEnd w:id="42"/>
    </w:p>
    <w:p w:rsidR="00BF347F" w:rsidRDefault="00BF347F" w:rsidP="00BF347F">
      <w:pPr>
        <w:rPr>
          <w:noProof/>
          <w:lang w:val="en-US"/>
        </w:rPr>
      </w:pPr>
    </w:p>
    <w:p w:rsidR="00070AE1" w:rsidRPr="004C44CE" w:rsidRDefault="004B61B4">
      <w:pPr>
        <w:rPr>
          <w:sz w:val="20"/>
          <w:lang w:val="en-US"/>
        </w:rPr>
      </w:pPr>
      <w:r w:rsidRPr="004C44CE">
        <w:rPr>
          <w:sz w:val="20"/>
          <w:lang w:val="en-US"/>
        </w:rPr>
        <w:fldChar w:fldCharType="end"/>
      </w:r>
    </w:p>
    <w:sectPr w:rsidR="00070AE1" w:rsidRPr="004C44CE" w:rsidSect="006B568D">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10EDF" w:rsidRDefault="00C10EDF" w:rsidP="00080103">
      <w:r>
        <w:separator/>
      </w:r>
    </w:p>
  </w:endnote>
  <w:endnote w:type="continuationSeparator" w:id="0">
    <w:p w:rsidR="00C10EDF" w:rsidRDefault="00C10EDF" w:rsidP="000801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Grande">
    <w:altName w:val="Arial"/>
    <w:charset w:val="00"/>
    <w:family w:val="auto"/>
    <w:pitch w:val="variable"/>
    <w:sig w:usb0="00000000" w:usb1="5000A1FF" w:usb2="00000000" w:usb3="00000000" w:csb0="000001BF" w:csb1="00000000"/>
  </w:font>
  <w:font w:name="Calibri">
    <w:panose1 w:val="020F0502020204030204"/>
    <w:charset w:val="00"/>
    <w:family w:val="swiss"/>
    <w:pitch w:val="variable"/>
    <w:sig w:usb0="E00002FF" w:usb1="4000ACFF" w:usb2="00000001" w:usb3="00000000" w:csb0="0000019F" w:csb1="00000000"/>
  </w:font>
  <w:font w:name="Lucida Grande Greek">
    <w:altName w:val="Times New Roman"/>
    <w:panose1 w:val="00000000000000000000"/>
    <w:charset w:val="A1"/>
    <w:family w:val="auto"/>
    <w:notTrueType/>
    <w:pitch w:val="variable"/>
    <w:sig w:usb0="00000081" w:usb1="00000000" w:usb2="00000000" w:usb3="00000000" w:csb0="00000008"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347F" w:rsidRDefault="00BF347F">
    <w:pPr>
      <w:pStyle w:val="Voettekst"/>
      <w:jc w:val="right"/>
    </w:pPr>
    <w:r>
      <w:fldChar w:fldCharType="begin"/>
    </w:r>
    <w:r>
      <w:instrText xml:space="preserve"> PAGE   \* MERGEFORMAT </w:instrText>
    </w:r>
    <w:r>
      <w:fldChar w:fldCharType="separate"/>
    </w:r>
    <w:r w:rsidR="000B7987">
      <w:rPr>
        <w:noProof/>
      </w:rPr>
      <w:t>1</w:t>
    </w:r>
    <w:r>
      <w:rPr>
        <w:noProof/>
      </w:rPr>
      <w:fldChar w:fldCharType="end"/>
    </w:r>
  </w:p>
  <w:p w:rsidR="00BF347F" w:rsidRDefault="00BF347F">
    <w:pPr>
      <w:pStyle w:val="Voet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10EDF" w:rsidRDefault="00C10EDF" w:rsidP="00080103">
      <w:r>
        <w:separator/>
      </w:r>
    </w:p>
  </w:footnote>
  <w:footnote w:type="continuationSeparator" w:id="0">
    <w:p w:rsidR="00C10EDF" w:rsidRDefault="00C10EDF" w:rsidP="0008010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1D6CD0"/>
    <w:multiLevelType w:val="hybridMultilevel"/>
    <w:tmpl w:val="DC6E10EA"/>
    <w:lvl w:ilvl="0" w:tplc="04090019">
      <w:start w:val="1"/>
      <w:numFmt w:val="low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nsid w:val="23B51AEC"/>
    <w:multiLevelType w:val="hybridMultilevel"/>
    <w:tmpl w:val="BBF05CBA"/>
    <w:lvl w:ilvl="0" w:tplc="0624009C">
      <w:start w:val="1"/>
      <w:numFmt w:val="bullet"/>
      <w:lvlText w:val="-"/>
      <w:lvlJc w:val="left"/>
      <w:pPr>
        <w:ind w:left="720" w:hanging="360"/>
      </w:pPr>
      <w:rPr>
        <w:rFonts w:ascii="Cambria" w:eastAsia="MS Mincho" w:hAnsi="Cambria"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78214F1"/>
    <w:multiLevelType w:val="hybridMultilevel"/>
    <w:tmpl w:val="9A342B3A"/>
    <w:lvl w:ilvl="0" w:tplc="084485A6">
      <w:start w:val="1"/>
      <w:numFmt w:val="bullet"/>
      <w:lvlText w:val="-"/>
      <w:lvlJc w:val="left"/>
      <w:pPr>
        <w:ind w:left="720" w:hanging="360"/>
      </w:pPr>
      <w:rPr>
        <w:rFonts w:ascii="Cambria" w:eastAsia="MS Mincho" w:hAnsi="Cambria"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D3576F4"/>
    <w:multiLevelType w:val="hybridMultilevel"/>
    <w:tmpl w:val="AF164F46"/>
    <w:lvl w:ilvl="0" w:tplc="04090011">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nsid w:val="6E01772D"/>
    <w:multiLevelType w:val="hybridMultilevel"/>
    <w:tmpl w:val="1C1847DA"/>
    <w:lvl w:ilvl="0" w:tplc="04090019">
      <w:start w:val="1"/>
      <w:numFmt w:val="low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nsid w:val="78E241AE"/>
    <w:multiLevelType w:val="hybridMultilevel"/>
    <w:tmpl w:val="7B2CC634"/>
    <w:lvl w:ilvl="0" w:tplc="40DA4474">
      <w:start w:val="2"/>
      <w:numFmt w:val="bullet"/>
      <w:lvlText w:val="-"/>
      <w:lvlJc w:val="left"/>
      <w:pPr>
        <w:ind w:left="720" w:hanging="360"/>
      </w:pPr>
      <w:rPr>
        <w:rFonts w:ascii="Cambria" w:eastAsia="MS Mincho" w:hAnsi="Cambria"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4"/>
  </w:num>
  <w:num w:numId="4">
    <w:abstractNumId w:val="0"/>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Br J Cancer&lt;/Style&gt;&lt;LeftDelim&gt;{&lt;/LeftDelim&gt;&lt;RightDelim&gt;}&lt;/RightDelim&gt;&lt;FontName&gt;Cambria&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rtv2prz2p0ttw3ezv01x0raovvzvd0wfxprr&quot;&gt;Performance Paper EndNote Library&lt;record-ids&gt;&lt;item&gt;6&lt;/item&gt;&lt;item&gt;7&lt;/item&gt;&lt;item&gt;10&lt;/item&gt;&lt;item&gt;16&lt;/item&gt;&lt;item&gt;19&lt;/item&gt;&lt;item&gt;23&lt;/item&gt;&lt;item&gt;31&lt;/item&gt;&lt;item&gt;53&lt;/item&gt;&lt;item&gt;73&lt;/item&gt;&lt;item&gt;74&lt;/item&gt;&lt;item&gt;112&lt;/item&gt;&lt;item&gt;115&lt;/item&gt;&lt;item&gt;116&lt;/item&gt;&lt;item&gt;117&lt;/item&gt;&lt;/record-ids&gt;&lt;/item&gt;&lt;item db-id=&quot;s5at2da0rxdws8ew29spaefwt99szxvvfawz&quot;&gt;Book-X&lt;record-ids&gt;&lt;item&gt;147&lt;/item&gt;&lt;item&gt;205&lt;/item&gt;&lt;item&gt;237&lt;/item&gt;&lt;item&gt;267&lt;/item&gt;&lt;item&gt;271&lt;/item&gt;&lt;item&gt;403&lt;/item&gt;&lt;item&gt;438&lt;/item&gt;&lt;item&gt;439&lt;/item&gt;&lt;item&gt;542&lt;/item&gt;&lt;item&gt;573&lt;/item&gt;&lt;item&gt;625&lt;/item&gt;&lt;item&gt;644&lt;/item&gt;&lt;item&gt;648&lt;/item&gt;&lt;item&gt;672&lt;/item&gt;&lt;item&gt;695&lt;/item&gt;&lt;item&gt;760&lt;/item&gt;&lt;item&gt;828&lt;/item&gt;&lt;item&gt;836&lt;/item&gt;&lt;item&gt;845&lt;/item&gt;&lt;item&gt;877&lt;/item&gt;&lt;item&gt;879&lt;/item&gt;&lt;item&gt;880&lt;/item&gt;&lt;item&gt;890&lt;/item&gt;&lt;item&gt;891&lt;/item&gt;&lt;item&gt;892&lt;/item&gt;&lt;item&gt;893&lt;/item&gt;&lt;item&gt;894&lt;/item&gt;&lt;item&gt;895&lt;/item&gt;&lt;/record-ids&gt;&lt;/item&gt;&lt;/Libraries&gt;"/>
  </w:docVars>
  <w:rsids>
    <w:rsidRoot w:val="007E676E"/>
    <w:rsid w:val="00005643"/>
    <w:rsid w:val="00006B93"/>
    <w:rsid w:val="00014FB4"/>
    <w:rsid w:val="0001749C"/>
    <w:rsid w:val="00022983"/>
    <w:rsid w:val="0002616A"/>
    <w:rsid w:val="000268AE"/>
    <w:rsid w:val="00033A6E"/>
    <w:rsid w:val="00036802"/>
    <w:rsid w:val="00036A92"/>
    <w:rsid w:val="00045F28"/>
    <w:rsid w:val="00046771"/>
    <w:rsid w:val="00046E17"/>
    <w:rsid w:val="0005136E"/>
    <w:rsid w:val="00056D0F"/>
    <w:rsid w:val="00057179"/>
    <w:rsid w:val="000623D7"/>
    <w:rsid w:val="000673BB"/>
    <w:rsid w:val="00070AE1"/>
    <w:rsid w:val="00075274"/>
    <w:rsid w:val="00080103"/>
    <w:rsid w:val="00082A78"/>
    <w:rsid w:val="000A173D"/>
    <w:rsid w:val="000B7987"/>
    <w:rsid w:val="000C0624"/>
    <w:rsid w:val="000C3266"/>
    <w:rsid w:val="000C438F"/>
    <w:rsid w:val="000D31BC"/>
    <w:rsid w:val="000D526B"/>
    <w:rsid w:val="000E05A5"/>
    <w:rsid w:val="000E11BC"/>
    <w:rsid w:val="000E49FF"/>
    <w:rsid w:val="000F6135"/>
    <w:rsid w:val="0011006C"/>
    <w:rsid w:val="00117494"/>
    <w:rsid w:val="00123E1D"/>
    <w:rsid w:val="00134D0C"/>
    <w:rsid w:val="001438F2"/>
    <w:rsid w:val="00155271"/>
    <w:rsid w:val="001630FE"/>
    <w:rsid w:val="001707CB"/>
    <w:rsid w:val="0017753C"/>
    <w:rsid w:val="00180B41"/>
    <w:rsid w:val="001874A8"/>
    <w:rsid w:val="00192587"/>
    <w:rsid w:val="001A168C"/>
    <w:rsid w:val="001A3412"/>
    <w:rsid w:val="001A632C"/>
    <w:rsid w:val="001A74DD"/>
    <w:rsid w:val="001B3811"/>
    <w:rsid w:val="001D046F"/>
    <w:rsid w:val="001D605A"/>
    <w:rsid w:val="001D763D"/>
    <w:rsid w:val="001E4334"/>
    <w:rsid w:val="001E4AB7"/>
    <w:rsid w:val="00202474"/>
    <w:rsid w:val="00206007"/>
    <w:rsid w:val="0023123E"/>
    <w:rsid w:val="00241779"/>
    <w:rsid w:val="00241F31"/>
    <w:rsid w:val="00243B82"/>
    <w:rsid w:val="00246129"/>
    <w:rsid w:val="002462BA"/>
    <w:rsid w:val="0024663D"/>
    <w:rsid w:val="00250A49"/>
    <w:rsid w:val="00254A05"/>
    <w:rsid w:val="0026313E"/>
    <w:rsid w:val="00271583"/>
    <w:rsid w:val="0027268F"/>
    <w:rsid w:val="0028049B"/>
    <w:rsid w:val="00282E4B"/>
    <w:rsid w:val="00295F9F"/>
    <w:rsid w:val="002972DF"/>
    <w:rsid w:val="002A4C7A"/>
    <w:rsid w:val="002A5325"/>
    <w:rsid w:val="002A5798"/>
    <w:rsid w:val="002C00D0"/>
    <w:rsid w:val="002C1A53"/>
    <w:rsid w:val="002C5BAF"/>
    <w:rsid w:val="002D3B48"/>
    <w:rsid w:val="002D560E"/>
    <w:rsid w:val="002E58EC"/>
    <w:rsid w:val="002F0DB0"/>
    <w:rsid w:val="002F345D"/>
    <w:rsid w:val="00303B30"/>
    <w:rsid w:val="003051FA"/>
    <w:rsid w:val="00312494"/>
    <w:rsid w:val="00327129"/>
    <w:rsid w:val="00331947"/>
    <w:rsid w:val="00336015"/>
    <w:rsid w:val="00350233"/>
    <w:rsid w:val="00351E97"/>
    <w:rsid w:val="003565B8"/>
    <w:rsid w:val="00356D35"/>
    <w:rsid w:val="00366073"/>
    <w:rsid w:val="00372B7C"/>
    <w:rsid w:val="00381D1B"/>
    <w:rsid w:val="00381EA1"/>
    <w:rsid w:val="0038581E"/>
    <w:rsid w:val="0038583A"/>
    <w:rsid w:val="00386D3D"/>
    <w:rsid w:val="0039485B"/>
    <w:rsid w:val="003A067A"/>
    <w:rsid w:val="003A52F1"/>
    <w:rsid w:val="003B5715"/>
    <w:rsid w:val="003D1C0D"/>
    <w:rsid w:val="003D4B40"/>
    <w:rsid w:val="003E234D"/>
    <w:rsid w:val="003E3CA6"/>
    <w:rsid w:val="00413D40"/>
    <w:rsid w:val="00423015"/>
    <w:rsid w:val="00424E39"/>
    <w:rsid w:val="0042557D"/>
    <w:rsid w:val="004274A9"/>
    <w:rsid w:val="00427763"/>
    <w:rsid w:val="00430FE1"/>
    <w:rsid w:val="00432E52"/>
    <w:rsid w:val="004405A9"/>
    <w:rsid w:val="004423FC"/>
    <w:rsid w:val="00443895"/>
    <w:rsid w:val="00446A00"/>
    <w:rsid w:val="00461428"/>
    <w:rsid w:val="0046662B"/>
    <w:rsid w:val="0046733F"/>
    <w:rsid w:val="0047643B"/>
    <w:rsid w:val="00476E16"/>
    <w:rsid w:val="00476E79"/>
    <w:rsid w:val="004844B5"/>
    <w:rsid w:val="004977BD"/>
    <w:rsid w:val="004A3AC8"/>
    <w:rsid w:val="004A6824"/>
    <w:rsid w:val="004B61B4"/>
    <w:rsid w:val="004C44CE"/>
    <w:rsid w:val="004D25CC"/>
    <w:rsid w:val="004F10EB"/>
    <w:rsid w:val="004F1CB2"/>
    <w:rsid w:val="004F4D0A"/>
    <w:rsid w:val="0050022C"/>
    <w:rsid w:val="00500A59"/>
    <w:rsid w:val="00513156"/>
    <w:rsid w:val="00524154"/>
    <w:rsid w:val="00527FB7"/>
    <w:rsid w:val="00536F26"/>
    <w:rsid w:val="00545B54"/>
    <w:rsid w:val="00552017"/>
    <w:rsid w:val="00562F6C"/>
    <w:rsid w:val="00572536"/>
    <w:rsid w:val="005755ED"/>
    <w:rsid w:val="00576EE2"/>
    <w:rsid w:val="00586AD5"/>
    <w:rsid w:val="005927CB"/>
    <w:rsid w:val="005A1127"/>
    <w:rsid w:val="005C5A42"/>
    <w:rsid w:val="005C67E6"/>
    <w:rsid w:val="005D05BD"/>
    <w:rsid w:val="005D2C37"/>
    <w:rsid w:val="005E19F1"/>
    <w:rsid w:val="005E435B"/>
    <w:rsid w:val="005F0041"/>
    <w:rsid w:val="005F31D7"/>
    <w:rsid w:val="005F42C0"/>
    <w:rsid w:val="00600D42"/>
    <w:rsid w:val="0060586D"/>
    <w:rsid w:val="00612F74"/>
    <w:rsid w:val="0061441E"/>
    <w:rsid w:val="00616291"/>
    <w:rsid w:val="006162D9"/>
    <w:rsid w:val="00617326"/>
    <w:rsid w:val="00617FDE"/>
    <w:rsid w:val="0062150A"/>
    <w:rsid w:val="00623D22"/>
    <w:rsid w:val="0062750C"/>
    <w:rsid w:val="006406E0"/>
    <w:rsid w:val="0064677B"/>
    <w:rsid w:val="0065005A"/>
    <w:rsid w:val="006508D1"/>
    <w:rsid w:val="00655373"/>
    <w:rsid w:val="00657186"/>
    <w:rsid w:val="00692D04"/>
    <w:rsid w:val="006A1AE4"/>
    <w:rsid w:val="006A4BA5"/>
    <w:rsid w:val="006A79DB"/>
    <w:rsid w:val="006B568D"/>
    <w:rsid w:val="006C3C90"/>
    <w:rsid w:val="006D1747"/>
    <w:rsid w:val="006D21ED"/>
    <w:rsid w:val="006D2971"/>
    <w:rsid w:val="006D3B6E"/>
    <w:rsid w:val="006E6CEC"/>
    <w:rsid w:val="006E778C"/>
    <w:rsid w:val="006F0B4C"/>
    <w:rsid w:val="00715420"/>
    <w:rsid w:val="007223BD"/>
    <w:rsid w:val="00744583"/>
    <w:rsid w:val="007514D3"/>
    <w:rsid w:val="00766353"/>
    <w:rsid w:val="00767D00"/>
    <w:rsid w:val="0077169A"/>
    <w:rsid w:val="00772A93"/>
    <w:rsid w:val="00777AA3"/>
    <w:rsid w:val="00781360"/>
    <w:rsid w:val="00791556"/>
    <w:rsid w:val="00792C94"/>
    <w:rsid w:val="007A03DA"/>
    <w:rsid w:val="007A26D4"/>
    <w:rsid w:val="007A77F4"/>
    <w:rsid w:val="007B3A5F"/>
    <w:rsid w:val="007C31FC"/>
    <w:rsid w:val="007C4C8B"/>
    <w:rsid w:val="007C5D9C"/>
    <w:rsid w:val="007D18D4"/>
    <w:rsid w:val="007D20E9"/>
    <w:rsid w:val="007E676E"/>
    <w:rsid w:val="008009B3"/>
    <w:rsid w:val="008121DD"/>
    <w:rsid w:val="0081640F"/>
    <w:rsid w:val="008219B9"/>
    <w:rsid w:val="00825F54"/>
    <w:rsid w:val="00840B6B"/>
    <w:rsid w:val="0084147A"/>
    <w:rsid w:val="00842FB2"/>
    <w:rsid w:val="00844FB6"/>
    <w:rsid w:val="0086225D"/>
    <w:rsid w:val="00870998"/>
    <w:rsid w:val="00872286"/>
    <w:rsid w:val="00873AE5"/>
    <w:rsid w:val="00876858"/>
    <w:rsid w:val="008801E3"/>
    <w:rsid w:val="00883895"/>
    <w:rsid w:val="008968E4"/>
    <w:rsid w:val="008C0678"/>
    <w:rsid w:val="008C2397"/>
    <w:rsid w:val="008C2761"/>
    <w:rsid w:val="008C3FFF"/>
    <w:rsid w:val="008C612A"/>
    <w:rsid w:val="008D1A7F"/>
    <w:rsid w:val="008D2832"/>
    <w:rsid w:val="008D3ECD"/>
    <w:rsid w:val="008E3D9E"/>
    <w:rsid w:val="008E5F2D"/>
    <w:rsid w:val="008F0763"/>
    <w:rsid w:val="00907129"/>
    <w:rsid w:val="00910548"/>
    <w:rsid w:val="009158DF"/>
    <w:rsid w:val="00916EB2"/>
    <w:rsid w:val="00923049"/>
    <w:rsid w:val="00923D70"/>
    <w:rsid w:val="00941C14"/>
    <w:rsid w:val="00944FC4"/>
    <w:rsid w:val="00945FF7"/>
    <w:rsid w:val="009501EA"/>
    <w:rsid w:val="00950925"/>
    <w:rsid w:val="00952BC2"/>
    <w:rsid w:val="0096577E"/>
    <w:rsid w:val="0097564A"/>
    <w:rsid w:val="00977694"/>
    <w:rsid w:val="00981ADC"/>
    <w:rsid w:val="00992A80"/>
    <w:rsid w:val="00994858"/>
    <w:rsid w:val="009B3C4A"/>
    <w:rsid w:val="009B56C8"/>
    <w:rsid w:val="009B7C49"/>
    <w:rsid w:val="009D251F"/>
    <w:rsid w:val="009D2FD8"/>
    <w:rsid w:val="009D4800"/>
    <w:rsid w:val="009E431E"/>
    <w:rsid w:val="009E6377"/>
    <w:rsid w:val="00A12029"/>
    <w:rsid w:val="00A17794"/>
    <w:rsid w:val="00A250CB"/>
    <w:rsid w:val="00A2608E"/>
    <w:rsid w:val="00A27193"/>
    <w:rsid w:val="00A31E51"/>
    <w:rsid w:val="00A354D1"/>
    <w:rsid w:val="00A47CA9"/>
    <w:rsid w:val="00A55EAD"/>
    <w:rsid w:val="00A55ED5"/>
    <w:rsid w:val="00A701D2"/>
    <w:rsid w:val="00A7414C"/>
    <w:rsid w:val="00A76E4D"/>
    <w:rsid w:val="00A8735E"/>
    <w:rsid w:val="00A97F59"/>
    <w:rsid w:val="00AA243B"/>
    <w:rsid w:val="00AA2FB4"/>
    <w:rsid w:val="00AA79CA"/>
    <w:rsid w:val="00AB32E3"/>
    <w:rsid w:val="00AB3FEF"/>
    <w:rsid w:val="00AB4AC0"/>
    <w:rsid w:val="00AB5E93"/>
    <w:rsid w:val="00AC0DCB"/>
    <w:rsid w:val="00AC0EDC"/>
    <w:rsid w:val="00AC7511"/>
    <w:rsid w:val="00AD197F"/>
    <w:rsid w:val="00AD3CB2"/>
    <w:rsid w:val="00AE7AE6"/>
    <w:rsid w:val="00AF0427"/>
    <w:rsid w:val="00AF3490"/>
    <w:rsid w:val="00AF431D"/>
    <w:rsid w:val="00AF4A4E"/>
    <w:rsid w:val="00B129C1"/>
    <w:rsid w:val="00B12ACE"/>
    <w:rsid w:val="00B15C4B"/>
    <w:rsid w:val="00B15D4D"/>
    <w:rsid w:val="00B239A7"/>
    <w:rsid w:val="00B31663"/>
    <w:rsid w:val="00B31B05"/>
    <w:rsid w:val="00B36956"/>
    <w:rsid w:val="00B40E2A"/>
    <w:rsid w:val="00B43E87"/>
    <w:rsid w:val="00B46C20"/>
    <w:rsid w:val="00B47508"/>
    <w:rsid w:val="00B53ADB"/>
    <w:rsid w:val="00B653F8"/>
    <w:rsid w:val="00B71D6A"/>
    <w:rsid w:val="00B7221A"/>
    <w:rsid w:val="00B77E48"/>
    <w:rsid w:val="00B85B9F"/>
    <w:rsid w:val="00B87139"/>
    <w:rsid w:val="00B910CE"/>
    <w:rsid w:val="00B91F84"/>
    <w:rsid w:val="00B9308C"/>
    <w:rsid w:val="00B97825"/>
    <w:rsid w:val="00BB14B3"/>
    <w:rsid w:val="00BB160C"/>
    <w:rsid w:val="00BD2E43"/>
    <w:rsid w:val="00BD5EB7"/>
    <w:rsid w:val="00BE31EF"/>
    <w:rsid w:val="00BE70A6"/>
    <w:rsid w:val="00BF245C"/>
    <w:rsid w:val="00BF347F"/>
    <w:rsid w:val="00BF55DD"/>
    <w:rsid w:val="00C01777"/>
    <w:rsid w:val="00C048BE"/>
    <w:rsid w:val="00C10EDF"/>
    <w:rsid w:val="00C127D1"/>
    <w:rsid w:val="00C12BAF"/>
    <w:rsid w:val="00C17DF5"/>
    <w:rsid w:val="00C32A3E"/>
    <w:rsid w:val="00C36504"/>
    <w:rsid w:val="00C41871"/>
    <w:rsid w:val="00C64002"/>
    <w:rsid w:val="00C81EC8"/>
    <w:rsid w:val="00C96341"/>
    <w:rsid w:val="00C9735D"/>
    <w:rsid w:val="00CA05F3"/>
    <w:rsid w:val="00CB304B"/>
    <w:rsid w:val="00CB792C"/>
    <w:rsid w:val="00CC00BB"/>
    <w:rsid w:val="00CD481A"/>
    <w:rsid w:val="00CE0418"/>
    <w:rsid w:val="00CE7496"/>
    <w:rsid w:val="00CF5BFA"/>
    <w:rsid w:val="00D04B0E"/>
    <w:rsid w:val="00D10B8C"/>
    <w:rsid w:val="00D11513"/>
    <w:rsid w:val="00D16B20"/>
    <w:rsid w:val="00D22A9F"/>
    <w:rsid w:val="00D3283D"/>
    <w:rsid w:val="00D36DB1"/>
    <w:rsid w:val="00D40CE0"/>
    <w:rsid w:val="00D44727"/>
    <w:rsid w:val="00D46B04"/>
    <w:rsid w:val="00D51725"/>
    <w:rsid w:val="00D5222F"/>
    <w:rsid w:val="00D53CB4"/>
    <w:rsid w:val="00D57DB3"/>
    <w:rsid w:val="00D610D8"/>
    <w:rsid w:val="00D65401"/>
    <w:rsid w:val="00D67426"/>
    <w:rsid w:val="00D71AAF"/>
    <w:rsid w:val="00D7529E"/>
    <w:rsid w:val="00D766EE"/>
    <w:rsid w:val="00D918D3"/>
    <w:rsid w:val="00D93B06"/>
    <w:rsid w:val="00D947E9"/>
    <w:rsid w:val="00D95C16"/>
    <w:rsid w:val="00D970C2"/>
    <w:rsid w:val="00D97A93"/>
    <w:rsid w:val="00DA7B4B"/>
    <w:rsid w:val="00DC167A"/>
    <w:rsid w:val="00DD532A"/>
    <w:rsid w:val="00DD6DD5"/>
    <w:rsid w:val="00DE0422"/>
    <w:rsid w:val="00DF0E84"/>
    <w:rsid w:val="00DF354E"/>
    <w:rsid w:val="00E00850"/>
    <w:rsid w:val="00E01FE0"/>
    <w:rsid w:val="00E03527"/>
    <w:rsid w:val="00E052C6"/>
    <w:rsid w:val="00E0717C"/>
    <w:rsid w:val="00E15B34"/>
    <w:rsid w:val="00E33E88"/>
    <w:rsid w:val="00E41AB0"/>
    <w:rsid w:val="00E43F9D"/>
    <w:rsid w:val="00E4411A"/>
    <w:rsid w:val="00E44757"/>
    <w:rsid w:val="00E50DE5"/>
    <w:rsid w:val="00E517D7"/>
    <w:rsid w:val="00E51F92"/>
    <w:rsid w:val="00E608BF"/>
    <w:rsid w:val="00E6465E"/>
    <w:rsid w:val="00E67E2C"/>
    <w:rsid w:val="00E71BE9"/>
    <w:rsid w:val="00E7497A"/>
    <w:rsid w:val="00E820FE"/>
    <w:rsid w:val="00E84683"/>
    <w:rsid w:val="00E923D1"/>
    <w:rsid w:val="00E944A3"/>
    <w:rsid w:val="00E9699E"/>
    <w:rsid w:val="00EA1E4C"/>
    <w:rsid w:val="00EA2969"/>
    <w:rsid w:val="00EA3499"/>
    <w:rsid w:val="00EA3D91"/>
    <w:rsid w:val="00EA5475"/>
    <w:rsid w:val="00EC32AD"/>
    <w:rsid w:val="00EC380E"/>
    <w:rsid w:val="00EE0606"/>
    <w:rsid w:val="00EE0C0B"/>
    <w:rsid w:val="00EE1CCA"/>
    <w:rsid w:val="00EE512D"/>
    <w:rsid w:val="00EE5600"/>
    <w:rsid w:val="00EE5AFA"/>
    <w:rsid w:val="00EE6485"/>
    <w:rsid w:val="00EF0729"/>
    <w:rsid w:val="00EF54EA"/>
    <w:rsid w:val="00F04B49"/>
    <w:rsid w:val="00F06F7A"/>
    <w:rsid w:val="00F1243B"/>
    <w:rsid w:val="00F16E2F"/>
    <w:rsid w:val="00F21F6B"/>
    <w:rsid w:val="00F22177"/>
    <w:rsid w:val="00F22977"/>
    <w:rsid w:val="00F236A5"/>
    <w:rsid w:val="00F25913"/>
    <w:rsid w:val="00F31597"/>
    <w:rsid w:val="00F36A86"/>
    <w:rsid w:val="00F36BB7"/>
    <w:rsid w:val="00F40782"/>
    <w:rsid w:val="00F41D7A"/>
    <w:rsid w:val="00F4725A"/>
    <w:rsid w:val="00F52BA1"/>
    <w:rsid w:val="00F5314E"/>
    <w:rsid w:val="00F60DE0"/>
    <w:rsid w:val="00F65DA9"/>
    <w:rsid w:val="00F72719"/>
    <w:rsid w:val="00FA0EBE"/>
    <w:rsid w:val="00FA378F"/>
    <w:rsid w:val="00FB1F89"/>
    <w:rsid w:val="00FB268E"/>
    <w:rsid w:val="00FB7591"/>
    <w:rsid w:val="00FB789E"/>
    <w:rsid w:val="00FC2DD4"/>
    <w:rsid w:val="00FC6DAB"/>
    <w:rsid w:val="00FD2003"/>
    <w:rsid w:val="00FF78AE"/>
  </w:rsids>
  <m:mathPr>
    <m:mathFont m:val="Cambria Math"/>
    <m:brkBin m:val="before"/>
    <m:brkBinSub m:val="--"/>
    <m:smallFrac m:val="0"/>
    <m:dispDef/>
    <m:lMargin m:val="0"/>
    <m:rMargin m:val="0"/>
    <m:defJc m:val="centerGroup"/>
    <m:wrapIndent m:val="1440"/>
    <m:intLim m:val="subSup"/>
    <m:naryLim m:val="undOvr"/>
  </m:mathPr>
  <w:themeFontLang w:val="nl-B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MS Mincho" w:hAnsi="Cambria" w:cs="Times New Roman"/>
        <w:sz w:val="22"/>
        <w:szCs w:val="22"/>
        <w:lang w:val="nl-BE" w:eastAsia="nl-BE"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0E05A5"/>
    <w:rPr>
      <w:sz w:val="24"/>
      <w:szCs w:val="24"/>
      <w:lang w:val="nl-NL" w:eastAsia="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99"/>
    <w:qFormat/>
    <w:rsid w:val="007E676E"/>
    <w:pPr>
      <w:ind w:left="720"/>
      <w:contextualSpacing/>
    </w:pPr>
  </w:style>
  <w:style w:type="table" w:styleId="Tabelraster">
    <w:name w:val="Table Grid"/>
    <w:basedOn w:val="Standaardtabel"/>
    <w:uiPriority w:val="99"/>
    <w:rsid w:val="000D526B"/>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ntekst">
    <w:name w:val="Balloon Text"/>
    <w:basedOn w:val="Standaard"/>
    <w:link w:val="BallontekstChar"/>
    <w:uiPriority w:val="99"/>
    <w:semiHidden/>
    <w:rsid w:val="00612F74"/>
    <w:rPr>
      <w:rFonts w:ascii="Lucida Grande" w:hAnsi="Lucida Grande"/>
      <w:sz w:val="18"/>
      <w:szCs w:val="18"/>
      <w:lang w:val="en-US"/>
    </w:rPr>
  </w:style>
  <w:style w:type="character" w:customStyle="1" w:styleId="BallontekstChar">
    <w:name w:val="Ballontekst Char"/>
    <w:basedOn w:val="Standaardalinea-lettertype"/>
    <w:link w:val="Ballontekst"/>
    <w:uiPriority w:val="99"/>
    <w:semiHidden/>
    <w:locked/>
    <w:rsid w:val="00612F74"/>
    <w:rPr>
      <w:rFonts w:ascii="Lucida Grande" w:hAnsi="Lucida Grande" w:cs="Times New Roman"/>
      <w:sz w:val="18"/>
    </w:rPr>
  </w:style>
  <w:style w:type="character" w:styleId="Verwijzingopmerking">
    <w:name w:val="annotation reference"/>
    <w:basedOn w:val="Standaardalinea-lettertype"/>
    <w:uiPriority w:val="99"/>
    <w:semiHidden/>
    <w:rsid w:val="00F1243B"/>
    <w:rPr>
      <w:rFonts w:cs="Times New Roman"/>
      <w:sz w:val="18"/>
    </w:rPr>
  </w:style>
  <w:style w:type="paragraph" w:styleId="Tekstopmerking">
    <w:name w:val="annotation text"/>
    <w:basedOn w:val="Standaard"/>
    <w:link w:val="TekstopmerkingChar"/>
    <w:uiPriority w:val="99"/>
    <w:rsid w:val="00F1243B"/>
    <w:rPr>
      <w:sz w:val="20"/>
      <w:szCs w:val="20"/>
      <w:lang w:val="en-US"/>
    </w:rPr>
  </w:style>
  <w:style w:type="character" w:customStyle="1" w:styleId="TekstopmerkingChar">
    <w:name w:val="Tekst opmerking Char"/>
    <w:basedOn w:val="Standaardalinea-lettertype"/>
    <w:link w:val="Tekstopmerking"/>
    <w:uiPriority w:val="99"/>
    <w:locked/>
    <w:rsid w:val="00F1243B"/>
    <w:rPr>
      <w:rFonts w:cs="Times New Roman"/>
    </w:rPr>
  </w:style>
  <w:style w:type="paragraph" w:styleId="Onderwerpvanopmerking">
    <w:name w:val="annotation subject"/>
    <w:basedOn w:val="Tekstopmerking"/>
    <w:next w:val="Tekstopmerking"/>
    <w:link w:val="OnderwerpvanopmerkingChar"/>
    <w:uiPriority w:val="99"/>
    <w:semiHidden/>
    <w:rsid w:val="00F1243B"/>
    <w:rPr>
      <w:b/>
      <w:bCs/>
    </w:rPr>
  </w:style>
  <w:style w:type="character" w:customStyle="1" w:styleId="OnderwerpvanopmerkingChar">
    <w:name w:val="Onderwerp van opmerking Char"/>
    <w:basedOn w:val="TekstopmerkingChar"/>
    <w:link w:val="Onderwerpvanopmerking"/>
    <w:uiPriority w:val="99"/>
    <w:semiHidden/>
    <w:locked/>
    <w:rsid w:val="00F1243B"/>
    <w:rPr>
      <w:rFonts w:cs="Times New Roman"/>
      <w:b/>
      <w:sz w:val="20"/>
    </w:rPr>
  </w:style>
  <w:style w:type="paragraph" w:styleId="Koptekst">
    <w:name w:val="header"/>
    <w:basedOn w:val="Standaard"/>
    <w:link w:val="KoptekstChar"/>
    <w:uiPriority w:val="99"/>
    <w:rsid w:val="00080103"/>
    <w:pPr>
      <w:tabs>
        <w:tab w:val="center" w:pos="4153"/>
        <w:tab w:val="right" w:pos="8306"/>
      </w:tabs>
    </w:pPr>
    <w:rPr>
      <w:sz w:val="20"/>
      <w:szCs w:val="20"/>
      <w:lang w:val="en-US"/>
    </w:rPr>
  </w:style>
  <w:style w:type="character" w:customStyle="1" w:styleId="KoptekstChar">
    <w:name w:val="Koptekst Char"/>
    <w:basedOn w:val="Standaardalinea-lettertype"/>
    <w:link w:val="Koptekst"/>
    <w:uiPriority w:val="99"/>
    <w:locked/>
    <w:rsid w:val="00080103"/>
    <w:rPr>
      <w:rFonts w:cs="Times New Roman"/>
    </w:rPr>
  </w:style>
  <w:style w:type="paragraph" w:styleId="Voettekst">
    <w:name w:val="footer"/>
    <w:basedOn w:val="Standaard"/>
    <w:link w:val="VoettekstChar"/>
    <w:uiPriority w:val="99"/>
    <w:rsid w:val="00080103"/>
    <w:pPr>
      <w:tabs>
        <w:tab w:val="center" w:pos="4153"/>
        <w:tab w:val="right" w:pos="8306"/>
      </w:tabs>
    </w:pPr>
    <w:rPr>
      <w:sz w:val="20"/>
      <w:szCs w:val="20"/>
      <w:lang w:val="en-US"/>
    </w:rPr>
  </w:style>
  <w:style w:type="character" w:customStyle="1" w:styleId="VoettekstChar">
    <w:name w:val="Voettekst Char"/>
    <w:basedOn w:val="Standaardalinea-lettertype"/>
    <w:link w:val="Voettekst"/>
    <w:uiPriority w:val="99"/>
    <w:locked/>
    <w:rsid w:val="00080103"/>
    <w:rPr>
      <w:rFonts w:cs="Times New Roman"/>
    </w:rPr>
  </w:style>
  <w:style w:type="character" w:styleId="Hyperlink">
    <w:name w:val="Hyperlink"/>
    <w:basedOn w:val="Standaardalinea-lettertype"/>
    <w:uiPriority w:val="99"/>
    <w:unhideWhenUsed/>
    <w:rsid w:val="00070AE1"/>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MS Mincho" w:hAnsi="Cambria" w:cs="Times New Roman"/>
        <w:sz w:val="22"/>
        <w:szCs w:val="22"/>
        <w:lang w:val="nl-BE" w:eastAsia="nl-BE"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0E05A5"/>
    <w:rPr>
      <w:sz w:val="24"/>
      <w:szCs w:val="24"/>
      <w:lang w:val="nl-NL" w:eastAsia="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99"/>
    <w:qFormat/>
    <w:rsid w:val="007E676E"/>
    <w:pPr>
      <w:ind w:left="720"/>
      <w:contextualSpacing/>
    </w:pPr>
  </w:style>
  <w:style w:type="table" w:styleId="Tabelraster">
    <w:name w:val="Table Grid"/>
    <w:basedOn w:val="Standaardtabel"/>
    <w:uiPriority w:val="99"/>
    <w:rsid w:val="000D526B"/>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ntekst">
    <w:name w:val="Balloon Text"/>
    <w:basedOn w:val="Standaard"/>
    <w:link w:val="BallontekstChar"/>
    <w:uiPriority w:val="99"/>
    <w:semiHidden/>
    <w:rsid w:val="00612F74"/>
    <w:rPr>
      <w:rFonts w:ascii="Lucida Grande" w:hAnsi="Lucida Grande"/>
      <w:sz w:val="18"/>
      <w:szCs w:val="18"/>
      <w:lang w:val="en-US"/>
    </w:rPr>
  </w:style>
  <w:style w:type="character" w:customStyle="1" w:styleId="BallontekstChar">
    <w:name w:val="Ballontekst Char"/>
    <w:basedOn w:val="Standaardalinea-lettertype"/>
    <w:link w:val="Ballontekst"/>
    <w:uiPriority w:val="99"/>
    <w:semiHidden/>
    <w:locked/>
    <w:rsid w:val="00612F74"/>
    <w:rPr>
      <w:rFonts w:ascii="Lucida Grande" w:hAnsi="Lucida Grande" w:cs="Times New Roman"/>
      <w:sz w:val="18"/>
    </w:rPr>
  </w:style>
  <w:style w:type="character" w:styleId="Verwijzingopmerking">
    <w:name w:val="annotation reference"/>
    <w:basedOn w:val="Standaardalinea-lettertype"/>
    <w:uiPriority w:val="99"/>
    <w:semiHidden/>
    <w:rsid w:val="00F1243B"/>
    <w:rPr>
      <w:rFonts w:cs="Times New Roman"/>
      <w:sz w:val="18"/>
    </w:rPr>
  </w:style>
  <w:style w:type="paragraph" w:styleId="Tekstopmerking">
    <w:name w:val="annotation text"/>
    <w:basedOn w:val="Standaard"/>
    <w:link w:val="TekstopmerkingChar"/>
    <w:uiPriority w:val="99"/>
    <w:rsid w:val="00F1243B"/>
    <w:rPr>
      <w:sz w:val="20"/>
      <w:szCs w:val="20"/>
      <w:lang w:val="en-US"/>
    </w:rPr>
  </w:style>
  <w:style w:type="character" w:customStyle="1" w:styleId="TekstopmerkingChar">
    <w:name w:val="Tekst opmerking Char"/>
    <w:basedOn w:val="Standaardalinea-lettertype"/>
    <w:link w:val="Tekstopmerking"/>
    <w:uiPriority w:val="99"/>
    <w:locked/>
    <w:rsid w:val="00F1243B"/>
    <w:rPr>
      <w:rFonts w:cs="Times New Roman"/>
    </w:rPr>
  </w:style>
  <w:style w:type="paragraph" w:styleId="Onderwerpvanopmerking">
    <w:name w:val="annotation subject"/>
    <w:basedOn w:val="Tekstopmerking"/>
    <w:next w:val="Tekstopmerking"/>
    <w:link w:val="OnderwerpvanopmerkingChar"/>
    <w:uiPriority w:val="99"/>
    <w:semiHidden/>
    <w:rsid w:val="00F1243B"/>
    <w:rPr>
      <w:b/>
      <w:bCs/>
    </w:rPr>
  </w:style>
  <w:style w:type="character" w:customStyle="1" w:styleId="OnderwerpvanopmerkingChar">
    <w:name w:val="Onderwerp van opmerking Char"/>
    <w:basedOn w:val="TekstopmerkingChar"/>
    <w:link w:val="Onderwerpvanopmerking"/>
    <w:uiPriority w:val="99"/>
    <w:semiHidden/>
    <w:locked/>
    <w:rsid w:val="00F1243B"/>
    <w:rPr>
      <w:rFonts w:cs="Times New Roman"/>
      <w:b/>
      <w:sz w:val="20"/>
    </w:rPr>
  </w:style>
  <w:style w:type="paragraph" w:styleId="Koptekst">
    <w:name w:val="header"/>
    <w:basedOn w:val="Standaard"/>
    <w:link w:val="KoptekstChar"/>
    <w:uiPriority w:val="99"/>
    <w:rsid w:val="00080103"/>
    <w:pPr>
      <w:tabs>
        <w:tab w:val="center" w:pos="4153"/>
        <w:tab w:val="right" w:pos="8306"/>
      </w:tabs>
    </w:pPr>
    <w:rPr>
      <w:sz w:val="20"/>
      <w:szCs w:val="20"/>
      <w:lang w:val="en-US"/>
    </w:rPr>
  </w:style>
  <w:style w:type="character" w:customStyle="1" w:styleId="KoptekstChar">
    <w:name w:val="Koptekst Char"/>
    <w:basedOn w:val="Standaardalinea-lettertype"/>
    <w:link w:val="Koptekst"/>
    <w:uiPriority w:val="99"/>
    <w:locked/>
    <w:rsid w:val="00080103"/>
    <w:rPr>
      <w:rFonts w:cs="Times New Roman"/>
    </w:rPr>
  </w:style>
  <w:style w:type="paragraph" w:styleId="Voettekst">
    <w:name w:val="footer"/>
    <w:basedOn w:val="Standaard"/>
    <w:link w:val="VoettekstChar"/>
    <w:uiPriority w:val="99"/>
    <w:rsid w:val="00080103"/>
    <w:pPr>
      <w:tabs>
        <w:tab w:val="center" w:pos="4153"/>
        <w:tab w:val="right" w:pos="8306"/>
      </w:tabs>
    </w:pPr>
    <w:rPr>
      <w:sz w:val="20"/>
      <w:szCs w:val="20"/>
      <w:lang w:val="en-US"/>
    </w:rPr>
  </w:style>
  <w:style w:type="character" w:customStyle="1" w:styleId="VoettekstChar">
    <w:name w:val="Voettekst Char"/>
    <w:basedOn w:val="Standaardalinea-lettertype"/>
    <w:link w:val="Voettekst"/>
    <w:uiPriority w:val="99"/>
    <w:locked/>
    <w:rsid w:val="00080103"/>
    <w:rPr>
      <w:rFonts w:cs="Times New Roman"/>
    </w:rPr>
  </w:style>
  <w:style w:type="character" w:styleId="Hyperlink">
    <w:name w:val="Hyperlink"/>
    <w:basedOn w:val="Standaardalinea-lettertype"/>
    <w:uiPriority w:val="99"/>
    <w:unhideWhenUsed/>
    <w:rsid w:val="00070AE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3978912">
      <w:bodyDiv w:val="1"/>
      <w:marLeft w:val="0"/>
      <w:marRight w:val="0"/>
      <w:marTop w:val="0"/>
      <w:marBottom w:val="0"/>
      <w:divBdr>
        <w:top w:val="none" w:sz="0" w:space="0" w:color="auto"/>
        <w:left w:val="none" w:sz="0" w:space="0" w:color="auto"/>
        <w:bottom w:val="none" w:sz="0" w:space="0" w:color="auto"/>
        <w:right w:val="none" w:sz="0" w:space="0" w:color="auto"/>
      </w:divBdr>
    </w:div>
    <w:div w:id="229274500">
      <w:marLeft w:val="0"/>
      <w:marRight w:val="0"/>
      <w:marTop w:val="0"/>
      <w:marBottom w:val="0"/>
      <w:divBdr>
        <w:top w:val="none" w:sz="0" w:space="0" w:color="auto"/>
        <w:left w:val="none" w:sz="0" w:space="0" w:color="auto"/>
        <w:bottom w:val="none" w:sz="0" w:space="0" w:color="auto"/>
        <w:right w:val="none" w:sz="0" w:space="0" w:color="auto"/>
      </w:divBdr>
      <w:divsChild>
        <w:div w:id="229274517">
          <w:marLeft w:val="0"/>
          <w:marRight w:val="1"/>
          <w:marTop w:val="0"/>
          <w:marBottom w:val="0"/>
          <w:divBdr>
            <w:top w:val="none" w:sz="0" w:space="0" w:color="auto"/>
            <w:left w:val="none" w:sz="0" w:space="0" w:color="auto"/>
            <w:bottom w:val="none" w:sz="0" w:space="0" w:color="auto"/>
            <w:right w:val="none" w:sz="0" w:space="0" w:color="auto"/>
          </w:divBdr>
          <w:divsChild>
            <w:div w:id="229274492">
              <w:marLeft w:val="0"/>
              <w:marRight w:val="0"/>
              <w:marTop w:val="0"/>
              <w:marBottom w:val="0"/>
              <w:divBdr>
                <w:top w:val="none" w:sz="0" w:space="0" w:color="auto"/>
                <w:left w:val="none" w:sz="0" w:space="0" w:color="auto"/>
                <w:bottom w:val="none" w:sz="0" w:space="0" w:color="auto"/>
                <w:right w:val="none" w:sz="0" w:space="0" w:color="auto"/>
              </w:divBdr>
              <w:divsChild>
                <w:div w:id="229274518">
                  <w:marLeft w:val="0"/>
                  <w:marRight w:val="1"/>
                  <w:marTop w:val="0"/>
                  <w:marBottom w:val="0"/>
                  <w:divBdr>
                    <w:top w:val="none" w:sz="0" w:space="0" w:color="auto"/>
                    <w:left w:val="none" w:sz="0" w:space="0" w:color="auto"/>
                    <w:bottom w:val="none" w:sz="0" w:space="0" w:color="auto"/>
                    <w:right w:val="none" w:sz="0" w:space="0" w:color="auto"/>
                  </w:divBdr>
                  <w:divsChild>
                    <w:div w:id="229274503">
                      <w:marLeft w:val="0"/>
                      <w:marRight w:val="0"/>
                      <w:marTop w:val="0"/>
                      <w:marBottom w:val="0"/>
                      <w:divBdr>
                        <w:top w:val="none" w:sz="0" w:space="0" w:color="auto"/>
                        <w:left w:val="none" w:sz="0" w:space="0" w:color="auto"/>
                        <w:bottom w:val="none" w:sz="0" w:space="0" w:color="auto"/>
                        <w:right w:val="none" w:sz="0" w:space="0" w:color="auto"/>
                      </w:divBdr>
                      <w:divsChild>
                        <w:div w:id="229274493">
                          <w:marLeft w:val="0"/>
                          <w:marRight w:val="0"/>
                          <w:marTop w:val="0"/>
                          <w:marBottom w:val="0"/>
                          <w:divBdr>
                            <w:top w:val="none" w:sz="0" w:space="0" w:color="auto"/>
                            <w:left w:val="none" w:sz="0" w:space="0" w:color="auto"/>
                            <w:bottom w:val="none" w:sz="0" w:space="0" w:color="auto"/>
                            <w:right w:val="none" w:sz="0" w:space="0" w:color="auto"/>
                          </w:divBdr>
                          <w:divsChild>
                            <w:div w:id="229274497">
                              <w:marLeft w:val="0"/>
                              <w:marRight w:val="0"/>
                              <w:marTop w:val="120"/>
                              <w:marBottom w:val="360"/>
                              <w:divBdr>
                                <w:top w:val="none" w:sz="0" w:space="0" w:color="auto"/>
                                <w:left w:val="none" w:sz="0" w:space="0" w:color="auto"/>
                                <w:bottom w:val="none" w:sz="0" w:space="0" w:color="auto"/>
                                <w:right w:val="none" w:sz="0" w:space="0" w:color="auto"/>
                              </w:divBdr>
                              <w:divsChild>
                                <w:div w:id="229274516">
                                  <w:marLeft w:val="0"/>
                                  <w:marRight w:val="0"/>
                                  <w:marTop w:val="0"/>
                                  <w:marBottom w:val="0"/>
                                  <w:divBdr>
                                    <w:top w:val="none" w:sz="0" w:space="0" w:color="auto"/>
                                    <w:left w:val="none" w:sz="0" w:space="0" w:color="auto"/>
                                    <w:bottom w:val="none" w:sz="0" w:space="0" w:color="auto"/>
                                    <w:right w:val="none" w:sz="0" w:space="0" w:color="auto"/>
                                  </w:divBdr>
                                  <w:divsChild>
                                    <w:div w:id="229274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29274502">
      <w:marLeft w:val="0"/>
      <w:marRight w:val="0"/>
      <w:marTop w:val="0"/>
      <w:marBottom w:val="0"/>
      <w:divBdr>
        <w:top w:val="none" w:sz="0" w:space="0" w:color="auto"/>
        <w:left w:val="none" w:sz="0" w:space="0" w:color="auto"/>
        <w:bottom w:val="none" w:sz="0" w:space="0" w:color="auto"/>
        <w:right w:val="none" w:sz="0" w:space="0" w:color="auto"/>
      </w:divBdr>
      <w:divsChild>
        <w:div w:id="229274499">
          <w:marLeft w:val="0"/>
          <w:marRight w:val="1"/>
          <w:marTop w:val="0"/>
          <w:marBottom w:val="0"/>
          <w:divBdr>
            <w:top w:val="none" w:sz="0" w:space="0" w:color="auto"/>
            <w:left w:val="none" w:sz="0" w:space="0" w:color="auto"/>
            <w:bottom w:val="none" w:sz="0" w:space="0" w:color="auto"/>
            <w:right w:val="none" w:sz="0" w:space="0" w:color="auto"/>
          </w:divBdr>
          <w:divsChild>
            <w:div w:id="229274515">
              <w:marLeft w:val="0"/>
              <w:marRight w:val="0"/>
              <w:marTop w:val="0"/>
              <w:marBottom w:val="0"/>
              <w:divBdr>
                <w:top w:val="none" w:sz="0" w:space="0" w:color="auto"/>
                <w:left w:val="none" w:sz="0" w:space="0" w:color="auto"/>
                <w:bottom w:val="none" w:sz="0" w:space="0" w:color="auto"/>
                <w:right w:val="none" w:sz="0" w:space="0" w:color="auto"/>
              </w:divBdr>
              <w:divsChild>
                <w:div w:id="229274519">
                  <w:marLeft w:val="0"/>
                  <w:marRight w:val="1"/>
                  <w:marTop w:val="0"/>
                  <w:marBottom w:val="0"/>
                  <w:divBdr>
                    <w:top w:val="none" w:sz="0" w:space="0" w:color="auto"/>
                    <w:left w:val="none" w:sz="0" w:space="0" w:color="auto"/>
                    <w:bottom w:val="none" w:sz="0" w:space="0" w:color="auto"/>
                    <w:right w:val="none" w:sz="0" w:space="0" w:color="auto"/>
                  </w:divBdr>
                  <w:divsChild>
                    <w:div w:id="229274494">
                      <w:marLeft w:val="0"/>
                      <w:marRight w:val="0"/>
                      <w:marTop w:val="0"/>
                      <w:marBottom w:val="0"/>
                      <w:divBdr>
                        <w:top w:val="none" w:sz="0" w:space="0" w:color="auto"/>
                        <w:left w:val="none" w:sz="0" w:space="0" w:color="auto"/>
                        <w:bottom w:val="none" w:sz="0" w:space="0" w:color="auto"/>
                        <w:right w:val="none" w:sz="0" w:space="0" w:color="auto"/>
                      </w:divBdr>
                      <w:divsChild>
                        <w:div w:id="229274495">
                          <w:marLeft w:val="0"/>
                          <w:marRight w:val="0"/>
                          <w:marTop w:val="0"/>
                          <w:marBottom w:val="0"/>
                          <w:divBdr>
                            <w:top w:val="none" w:sz="0" w:space="0" w:color="auto"/>
                            <w:left w:val="none" w:sz="0" w:space="0" w:color="auto"/>
                            <w:bottom w:val="none" w:sz="0" w:space="0" w:color="auto"/>
                            <w:right w:val="none" w:sz="0" w:space="0" w:color="auto"/>
                          </w:divBdr>
                          <w:divsChild>
                            <w:div w:id="229274498">
                              <w:marLeft w:val="0"/>
                              <w:marRight w:val="0"/>
                              <w:marTop w:val="120"/>
                              <w:marBottom w:val="360"/>
                              <w:divBdr>
                                <w:top w:val="none" w:sz="0" w:space="0" w:color="auto"/>
                                <w:left w:val="none" w:sz="0" w:space="0" w:color="auto"/>
                                <w:bottom w:val="none" w:sz="0" w:space="0" w:color="auto"/>
                                <w:right w:val="none" w:sz="0" w:space="0" w:color="auto"/>
                              </w:divBdr>
                              <w:divsChild>
                                <w:div w:id="229274501">
                                  <w:marLeft w:val="0"/>
                                  <w:marRight w:val="0"/>
                                  <w:marTop w:val="0"/>
                                  <w:marBottom w:val="0"/>
                                  <w:divBdr>
                                    <w:top w:val="none" w:sz="0" w:space="0" w:color="auto"/>
                                    <w:left w:val="none" w:sz="0" w:space="0" w:color="auto"/>
                                    <w:bottom w:val="none" w:sz="0" w:space="0" w:color="auto"/>
                                    <w:right w:val="none" w:sz="0" w:space="0" w:color="auto"/>
                                  </w:divBdr>
                                  <w:divsChild>
                                    <w:div w:id="22927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29274513">
      <w:marLeft w:val="0"/>
      <w:marRight w:val="0"/>
      <w:marTop w:val="0"/>
      <w:marBottom w:val="0"/>
      <w:divBdr>
        <w:top w:val="none" w:sz="0" w:space="0" w:color="auto"/>
        <w:left w:val="none" w:sz="0" w:space="0" w:color="auto"/>
        <w:bottom w:val="none" w:sz="0" w:space="0" w:color="auto"/>
        <w:right w:val="none" w:sz="0" w:space="0" w:color="auto"/>
      </w:divBdr>
      <w:divsChild>
        <w:div w:id="229274507">
          <w:marLeft w:val="0"/>
          <w:marRight w:val="1"/>
          <w:marTop w:val="0"/>
          <w:marBottom w:val="0"/>
          <w:divBdr>
            <w:top w:val="none" w:sz="0" w:space="0" w:color="auto"/>
            <w:left w:val="none" w:sz="0" w:space="0" w:color="auto"/>
            <w:bottom w:val="none" w:sz="0" w:space="0" w:color="auto"/>
            <w:right w:val="none" w:sz="0" w:space="0" w:color="auto"/>
          </w:divBdr>
          <w:divsChild>
            <w:div w:id="229274506">
              <w:marLeft w:val="0"/>
              <w:marRight w:val="0"/>
              <w:marTop w:val="0"/>
              <w:marBottom w:val="0"/>
              <w:divBdr>
                <w:top w:val="none" w:sz="0" w:space="0" w:color="auto"/>
                <w:left w:val="none" w:sz="0" w:space="0" w:color="auto"/>
                <w:bottom w:val="none" w:sz="0" w:space="0" w:color="auto"/>
                <w:right w:val="none" w:sz="0" w:space="0" w:color="auto"/>
              </w:divBdr>
              <w:divsChild>
                <w:div w:id="229274509">
                  <w:marLeft w:val="0"/>
                  <w:marRight w:val="1"/>
                  <w:marTop w:val="0"/>
                  <w:marBottom w:val="0"/>
                  <w:divBdr>
                    <w:top w:val="none" w:sz="0" w:space="0" w:color="auto"/>
                    <w:left w:val="none" w:sz="0" w:space="0" w:color="auto"/>
                    <w:bottom w:val="none" w:sz="0" w:space="0" w:color="auto"/>
                    <w:right w:val="none" w:sz="0" w:space="0" w:color="auto"/>
                  </w:divBdr>
                  <w:divsChild>
                    <w:div w:id="229274510">
                      <w:marLeft w:val="0"/>
                      <w:marRight w:val="0"/>
                      <w:marTop w:val="0"/>
                      <w:marBottom w:val="0"/>
                      <w:divBdr>
                        <w:top w:val="none" w:sz="0" w:space="0" w:color="auto"/>
                        <w:left w:val="none" w:sz="0" w:space="0" w:color="auto"/>
                        <w:bottom w:val="none" w:sz="0" w:space="0" w:color="auto"/>
                        <w:right w:val="none" w:sz="0" w:space="0" w:color="auto"/>
                      </w:divBdr>
                      <w:divsChild>
                        <w:div w:id="229274512">
                          <w:marLeft w:val="0"/>
                          <w:marRight w:val="0"/>
                          <w:marTop w:val="0"/>
                          <w:marBottom w:val="0"/>
                          <w:divBdr>
                            <w:top w:val="none" w:sz="0" w:space="0" w:color="auto"/>
                            <w:left w:val="none" w:sz="0" w:space="0" w:color="auto"/>
                            <w:bottom w:val="none" w:sz="0" w:space="0" w:color="auto"/>
                            <w:right w:val="none" w:sz="0" w:space="0" w:color="auto"/>
                          </w:divBdr>
                          <w:divsChild>
                            <w:div w:id="229274514">
                              <w:marLeft w:val="0"/>
                              <w:marRight w:val="0"/>
                              <w:marTop w:val="120"/>
                              <w:marBottom w:val="360"/>
                              <w:divBdr>
                                <w:top w:val="none" w:sz="0" w:space="0" w:color="auto"/>
                                <w:left w:val="none" w:sz="0" w:space="0" w:color="auto"/>
                                <w:bottom w:val="none" w:sz="0" w:space="0" w:color="auto"/>
                                <w:right w:val="none" w:sz="0" w:space="0" w:color="auto"/>
                              </w:divBdr>
                              <w:divsChild>
                                <w:div w:id="229274508">
                                  <w:marLeft w:val="420"/>
                                  <w:marRight w:val="0"/>
                                  <w:marTop w:val="0"/>
                                  <w:marBottom w:val="0"/>
                                  <w:divBdr>
                                    <w:top w:val="none" w:sz="0" w:space="0" w:color="auto"/>
                                    <w:left w:val="none" w:sz="0" w:space="0" w:color="auto"/>
                                    <w:bottom w:val="none" w:sz="0" w:space="0" w:color="auto"/>
                                    <w:right w:val="none" w:sz="0" w:space="0" w:color="auto"/>
                                  </w:divBdr>
                                  <w:divsChild>
                                    <w:div w:id="229274511">
                                      <w:marLeft w:val="0"/>
                                      <w:marRight w:val="0"/>
                                      <w:marTop w:val="0"/>
                                      <w:marBottom w:val="0"/>
                                      <w:divBdr>
                                        <w:top w:val="none" w:sz="0" w:space="0" w:color="auto"/>
                                        <w:left w:val="none" w:sz="0" w:space="0" w:color="auto"/>
                                        <w:bottom w:val="none" w:sz="0" w:space="0" w:color="auto"/>
                                        <w:right w:val="none" w:sz="0" w:space="0" w:color="auto"/>
                                      </w:divBdr>
                                      <w:divsChild>
                                        <w:div w:id="229274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33703164">
      <w:bodyDiv w:val="1"/>
      <w:marLeft w:val="0"/>
      <w:marRight w:val="0"/>
      <w:marTop w:val="0"/>
      <w:marBottom w:val="0"/>
      <w:divBdr>
        <w:top w:val="none" w:sz="0" w:space="0" w:color="auto"/>
        <w:left w:val="none" w:sz="0" w:space="0" w:color="auto"/>
        <w:bottom w:val="none" w:sz="0" w:space="0" w:color="auto"/>
        <w:right w:val="none" w:sz="0" w:space="0" w:color="auto"/>
      </w:divBdr>
    </w:div>
    <w:div w:id="872577630">
      <w:bodyDiv w:val="1"/>
      <w:marLeft w:val="0"/>
      <w:marRight w:val="0"/>
      <w:marTop w:val="0"/>
      <w:marBottom w:val="0"/>
      <w:divBdr>
        <w:top w:val="none" w:sz="0" w:space="0" w:color="auto"/>
        <w:left w:val="none" w:sz="0" w:space="0" w:color="auto"/>
        <w:bottom w:val="none" w:sz="0" w:space="0" w:color="auto"/>
        <w:right w:val="none" w:sz="0" w:space="0" w:color="auto"/>
      </w:divBdr>
    </w:div>
    <w:div w:id="888297275">
      <w:bodyDiv w:val="1"/>
      <w:marLeft w:val="0"/>
      <w:marRight w:val="0"/>
      <w:marTop w:val="0"/>
      <w:marBottom w:val="0"/>
      <w:divBdr>
        <w:top w:val="none" w:sz="0" w:space="0" w:color="auto"/>
        <w:left w:val="none" w:sz="0" w:space="0" w:color="auto"/>
        <w:bottom w:val="none" w:sz="0" w:space="0" w:color="auto"/>
        <w:right w:val="none" w:sz="0" w:space="0" w:color="auto"/>
      </w:divBdr>
    </w:div>
    <w:div w:id="1335842797">
      <w:bodyDiv w:val="1"/>
      <w:marLeft w:val="0"/>
      <w:marRight w:val="0"/>
      <w:marTop w:val="0"/>
      <w:marBottom w:val="0"/>
      <w:divBdr>
        <w:top w:val="none" w:sz="0" w:space="0" w:color="auto"/>
        <w:left w:val="none" w:sz="0" w:space="0" w:color="auto"/>
        <w:bottom w:val="none" w:sz="0" w:space="0" w:color="auto"/>
        <w:right w:val="none" w:sz="0" w:space="0" w:color="auto"/>
      </w:divBdr>
    </w:div>
    <w:div w:id="2006594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tiff"/><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3.tiff"/><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7.tif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tiff"/><Relationship Id="rId5" Type="http://schemas.openxmlformats.org/officeDocument/2006/relationships/settings" Target="settings.xml"/><Relationship Id="rId15" Type="http://schemas.openxmlformats.org/officeDocument/2006/relationships/image" Target="media/image6.tiff"/><Relationship Id="rId10" Type="http://schemas.openxmlformats.org/officeDocument/2006/relationships/image" Target="media/image1.tiff"/><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image" Target="media/image5.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44D6CF-C7EF-46EA-90EE-EF9A3DC5F8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28</Pages>
  <Words>22312</Words>
  <Characters>122718</Characters>
  <Application>Microsoft Office Word</Application>
  <DocSecurity>0</DocSecurity>
  <Lines>1022</Lines>
  <Paragraphs>289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Graphical assessment of incremental value of novel markers in prediction models: from statistical to decision analytical perspectives</vt:lpstr>
      <vt:lpstr>Graphical assessment of incremental value of novel markers in prediction models: from statistical to decision analytical perspectives</vt:lpstr>
    </vt:vector>
  </TitlesOfParts>
  <Company>Erasmus MC</Company>
  <LinksUpToDate>false</LinksUpToDate>
  <CharactersWithSpaces>144741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Graphical assessment of incremental value of novel markers in prediction models: from statistical to decision analytical perspectives</dc:title>
  <dc:creator>Ewout Steyerberg</dc:creator>
  <cp:lastModifiedBy>SUG Cluster Maatschappelijke Gezondheidszorg IMGZ</cp:lastModifiedBy>
  <cp:revision>2</cp:revision>
  <dcterms:created xsi:type="dcterms:W3CDTF">2014-10-17T06:41:00Z</dcterms:created>
  <dcterms:modified xsi:type="dcterms:W3CDTF">2014-10-17T06:41:00Z</dcterms:modified>
</cp:coreProperties>
</file>