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B37" w:rsidRPr="006E06A6" w:rsidRDefault="00460B37" w:rsidP="00460B37">
      <w:pPr>
        <w:spacing w:line="480" w:lineRule="auto"/>
        <w:jc w:val="both"/>
        <w:rPr>
          <w:b/>
          <w:sz w:val="28"/>
          <w:szCs w:val="28"/>
          <w:lang w:val="en-GB"/>
        </w:rPr>
      </w:pPr>
      <w:r w:rsidRPr="006E06A6">
        <w:rPr>
          <w:b/>
          <w:sz w:val="28"/>
          <w:szCs w:val="28"/>
          <w:lang w:val="en-GB"/>
        </w:rPr>
        <w:t>Assessing the potential impact of increased participation in higher education on mortality: Evidence from 21 European populations</w:t>
      </w:r>
    </w:p>
    <w:p w:rsidR="00460B37" w:rsidRPr="006E06A6" w:rsidRDefault="00460B37" w:rsidP="00460B37">
      <w:pPr>
        <w:spacing w:line="480" w:lineRule="auto"/>
        <w:jc w:val="both"/>
        <w:rPr>
          <w:lang w:val="en-GB"/>
        </w:rPr>
      </w:pPr>
    </w:p>
    <w:p w:rsidR="00460B37" w:rsidRPr="0052428F" w:rsidRDefault="00460B37" w:rsidP="00460B37">
      <w:pPr>
        <w:spacing w:line="480" w:lineRule="auto"/>
        <w:jc w:val="both"/>
        <w:rPr>
          <w:lang w:val="en-GB"/>
        </w:rPr>
      </w:pPr>
      <w:r w:rsidRPr="006E06A6">
        <w:rPr>
          <w:lang w:val="en-GB"/>
        </w:rPr>
        <w:t>Ivana Kulhánová</w:t>
      </w:r>
      <w:r>
        <w:rPr>
          <w:vertAlign w:val="superscript"/>
          <w:lang w:val="en-GB"/>
        </w:rPr>
        <w:t>a</w:t>
      </w:r>
      <w:r w:rsidRPr="006E06A6">
        <w:rPr>
          <w:vertAlign w:val="superscript"/>
          <w:lang w:val="en-GB"/>
        </w:rPr>
        <w:t>*</w:t>
      </w:r>
      <w:r w:rsidRPr="006E06A6">
        <w:rPr>
          <w:lang w:val="en-GB"/>
        </w:rPr>
        <w:t>, Rasmus Hoffmann</w:t>
      </w:r>
      <w:r>
        <w:rPr>
          <w:vertAlign w:val="superscript"/>
          <w:lang w:val="en-GB"/>
        </w:rPr>
        <w:t>a</w:t>
      </w:r>
      <w:r w:rsidRPr="006E06A6">
        <w:rPr>
          <w:lang w:val="en-GB"/>
        </w:rPr>
        <w:t>, Ken Judge</w:t>
      </w:r>
      <w:r>
        <w:rPr>
          <w:vertAlign w:val="superscript"/>
          <w:lang w:val="en-GB"/>
        </w:rPr>
        <w:t>b</w:t>
      </w:r>
      <w:r w:rsidRPr="006E06A6">
        <w:rPr>
          <w:lang w:val="en-GB"/>
        </w:rPr>
        <w:t>, Caspar W. N. Looman</w:t>
      </w:r>
      <w:r>
        <w:rPr>
          <w:vertAlign w:val="superscript"/>
          <w:lang w:val="en-GB"/>
        </w:rPr>
        <w:t>a</w:t>
      </w:r>
      <w:r w:rsidRPr="006E06A6">
        <w:rPr>
          <w:lang w:val="en-GB"/>
        </w:rPr>
        <w:t>, Terje A. Eikemo</w:t>
      </w:r>
      <w:r>
        <w:rPr>
          <w:vertAlign w:val="superscript"/>
          <w:lang w:val="en-GB"/>
        </w:rPr>
        <w:t>a</w:t>
      </w:r>
      <w:r w:rsidRPr="006E06A6">
        <w:rPr>
          <w:vertAlign w:val="superscript"/>
          <w:lang w:val="en-GB"/>
        </w:rPr>
        <w:t>,</w:t>
      </w:r>
      <w:r>
        <w:rPr>
          <w:vertAlign w:val="superscript"/>
          <w:lang w:val="en-GB"/>
        </w:rPr>
        <w:t>c</w:t>
      </w:r>
      <w:r w:rsidRPr="006E06A6">
        <w:rPr>
          <w:lang w:val="en-GB"/>
        </w:rPr>
        <w:t>, Matthias Bopp</w:t>
      </w:r>
      <w:r>
        <w:rPr>
          <w:vertAlign w:val="superscript"/>
          <w:lang w:val="en-GB"/>
        </w:rPr>
        <w:t>d</w:t>
      </w:r>
      <w:r w:rsidRPr="006E06A6">
        <w:rPr>
          <w:lang w:val="en-GB"/>
        </w:rPr>
        <w:t>, Patrick Deboosere</w:t>
      </w:r>
      <w:r>
        <w:rPr>
          <w:vertAlign w:val="superscript"/>
          <w:lang w:val="en-GB"/>
        </w:rPr>
        <w:t>e</w:t>
      </w:r>
      <w:r w:rsidRPr="006E06A6">
        <w:rPr>
          <w:lang w:val="en-GB"/>
        </w:rPr>
        <w:t>, Mall Leinsalu</w:t>
      </w:r>
      <w:r>
        <w:rPr>
          <w:vertAlign w:val="superscript"/>
          <w:lang w:val="en-GB"/>
        </w:rPr>
        <w:t>f</w:t>
      </w:r>
      <w:r w:rsidRPr="006E06A6">
        <w:rPr>
          <w:vertAlign w:val="superscript"/>
          <w:lang w:val="en-GB"/>
        </w:rPr>
        <w:t>,</w:t>
      </w:r>
      <w:r>
        <w:rPr>
          <w:vertAlign w:val="superscript"/>
          <w:lang w:val="en-GB"/>
        </w:rPr>
        <w:t>g</w:t>
      </w:r>
      <w:r w:rsidRPr="006E06A6">
        <w:rPr>
          <w:lang w:val="en-GB"/>
        </w:rPr>
        <w:t>, Pekka Martikainen</w:t>
      </w:r>
      <w:r>
        <w:rPr>
          <w:vertAlign w:val="superscript"/>
          <w:lang w:val="en-GB"/>
        </w:rPr>
        <w:t>h</w:t>
      </w:r>
      <w:r w:rsidRPr="006E06A6">
        <w:rPr>
          <w:lang w:val="en-GB"/>
        </w:rPr>
        <w:t xml:space="preserve">, Jitka </w:t>
      </w:r>
      <w:r w:rsidRPr="006E06A6">
        <w:rPr>
          <w:rStyle w:val="Emphasis"/>
          <w:b w:val="0"/>
          <w:color w:val="222222"/>
          <w:lang w:val="en-GB"/>
        </w:rPr>
        <w:t>Rychtaříková</w:t>
      </w:r>
      <w:r>
        <w:rPr>
          <w:rStyle w:val="Emphasis"/>
          <w:b w:val="0"/>
          <w:color w:val="222222"/>
          <w:vertAlign w:val="superscript"/>
          <w:lang w:val="en-GB"/>
        </w:rPr>
        <w:t>i</w:t>
      </w:r>
      <w:r w:rsidRPr="006E06A6">
        <w:rPr>
          <w:lang w:val="en-GB"/>
        </w:rPr>
        <w:t>, Bogdan Wojtyniak</w:t>
      </w:r>
      <w:r>
        <w:rPr>
          <w:vertAlign w:val="superscript"/>
          <w:lang w:val="en-GB"/>
        </w:rPr>
        <w:t>j</w:t>
      </w:r>
      <w:r w:rsidRPr="006E06A6">
        <w:rPr>
          <w:lang w:val="en-GB"/>
        </w:rPr>
        <w:t>, Gwenn Menvielle</w:t>
      </w:r>
      <w:r>
        <w:rPr>
          <w:vertAlign w:val="superscript"/>
          <w:lang w:val="en-GB"/>
        </w:rPr>
        <w:t>k</w:t>
      </w:r>
      <w:r w:rsidRPr="006E06A6">
        <w:rPr>
          <w:vertAlign w:val="superscript"/>
          <w:lang w:val="en-GB"/>
        </w:rPr>
        <w:t>,</w:t>
      </w:r>
      <w:r>
        <w:rPr>
          <w:vertAlign w:val="superscript"/>
          <w:lang w:val="en-GB"/>
        </w:rPr>
        <w:t>l</w:t>
      </w:r>
      <w:r w:rsidRPr="006E06A6">
        <w:rPr>
          <w:lang w:val="en-GB"/>
        </w:rPr>
        <w:t>, Johan P. Mackenbach</w:t>
      </w:r>
      <w:r>
        <w:rPr>
          <w:vertAlign w:val="superscript"/>
          <w:lang w:val="en-GB"/>
        </w:rPr>
        <w:t>a</w:t>
      </w:r>
      <w:r>
        <w:rPr>
          <w:lang w:val="en-GB"/>
        </w:rPr>
        <w:t>, for the EURO-GBD-SE Consortium</w:t>
      </w:r>
    </w:p>
    <w:p w:rsidR="00460B37" w:rsidRPr="006E06A6" w:rsidRDefault="00460B37" w:rsidP="00460B37">
      <w:pPr>
        <w:spacing w:line="480" w:lineRule="auto"/>
        <w:jc w:val="both"/>
        <w:rPr>
          <w:lang w:val="en-GB"/>
        </w:rPr>
      </w:pPr>
    </w:p>
    <w:p w:rsidR="00460B37" w:rsidRPr="006E06A6" w:rsidRDefault="00460B37" w:rsidP="00460B37">
      <w:pPr>
        <w:spacing w:line="480" w:lineRule="auto"/>
        <w:jc w:val="both"/>
        <w:rPr>
          <w:lang w:val="en-GB"/>
        </w:rPr>
      </w:pPr>
      <w:r>
        <w:rPr>
          <w:vertAlign w:val="superscript"/>
          <w:lang w:val="en-GB"/>
        </w:rPr>
        <w:t>a</w:t>
      </w:r>
      <w:r w:rsidRPr="006E06A6">
        <w:rPr>
          <w:lang w:val="en-GB"/>
        </w:rPr>
        <w:t xml:space="preserve"> Department of Public Health, Erasmus </w:t>
      </w:r>
      <w:r>
        <w:rPr>
          <w:lang w:val="en-GB"/>
        </w:rPr>
        <w:t>Medical Center</w:t>
      </w:r>
      <w:r w:rsidRPr="006E06A6">
        <w:rPr>
          <w:lang w:val="en-GB"/>
        </w:rPr>
        <w:t>, Rotterdam, The Netherlands</w:t>
      </w:r>
    </w:p>
    <w:p w:rsidR="00460B37" w:rsidRPr="006E06A6" w:rsidRDefault="00460B37" w:rsidP="00460B37">
      <w:pPr>
        <w:spacing w:line="480" w:lineRule="auto"/>
        <w:jc w:val="both"/>
        <w:rPr>
          <w:lang w:val="en-GB"/>
        </w:rPr>
      </w:pPr>
      <w:r>
        <w:rPr>
          <w:vertAlign w:val="superscript"/>
          <w:lang w:val="en-GB"/>
        </w:rPr>
        <w:t>b</w:t>
      </w:r>
      <w:r w:rsidRPr="006E06A6">
        <w:rPr>
          <w:lang w:val="en-GB"/>
        </w:rPr>
        <w:t xml:space="preserve"> Department for Health, Faculty of Humanities &amp; Social Sciences, University of Bath, Bath, United Kingdom</w:t>
      </w:r>
    </w:p>
    <w:p w:rsidR="00460B37" w:rsidRPr="006E06A6" w:rsidRDefault="00460B37" w:rsidP="00460B37">
      <w:pPr>
        <w:spacing w:line="480" w:lineRule="auto"/>
        <w:jc w:val="both"/>
        <w:rPr>
          <w:lang w:val="en-GB"/>
        </w:rPr>
      </w:pPr>
      <w:r>
        <w:rPr>
          <w:vertAlign w:val="superscript"/>
          <w:lang w:val="en-GB"/>
        </w:rPr>
        <w:t>c</w:t>
      </w:r>
      <w:r w:rsidRPr="006E06A6">
        <w:rPr>
          <w:lang w:val="en-GB"/>
        </w:rPr>
        <w:t xml:space="preserve"> Department of Sociology and Political Science, Norwegian University of Science and Technology, Trondheim, Norway</w:t>
      </w:r>
    </w:p>
    <w:p w:rsidR="00460B37" w:rsidRPr="006E06A6" w:rsidRDefault="00460B37" w:rsidP="00460B37">
      <w:pPr>
        <w:spacing w:line="480" w:lineRule="auto"/>
        <w:jc w:val="both"/>
        <w:rPr>
          <w:lang w:val="en-GB"/>
        </w:rPr>
      </w:pPr>
      <w:r>
        <w:rPr>
          <w:vertAlign w:val="superscript"/>
          <w:lang w:val="en-GB"/>
        </w:rPr>
        <w:t>d</w:t>
      </w:r>
      <w:r w:rsidRPr="006E06A6">
        <w:rPr>
          <w:lang w:val="en-GB"/>
        </w:rPr>
        <w:t xml:space="preserve"> Institute of Social and Preventive Medicine, University of Zürich, Zürich, Switzerland</w:t>
      </w:r>
    </w:p>
    <w:p w:rsidR="00460B37" w:rsidRPr="006E06A6" w:rsidRDefault="00460B37" w:rsidP="00460B37">
      <w:pPr>
        <w:spacing w:line="480" w:lineRule="auto"/>
        <w:jc w:val="both"/>
        <w:rPr>
          <w:lang w:val="en-GB"/>
        </w:rPr>
      </w:pPr>
      <w:r>
        <w:rPr>
          <w:vertAlign w:val="superscript"/>
          <w:lang w:val="en-GB"/>
        </w:rPr>
        <w:t>e</w:t>
      </w:r>
      <w:r w:rsidRPr="006E06A6">
        <w:rPr>
          <w:lang w:val="en-GB"/>
        </w:rPr>
        <w:t xml:space="preserve"> Department of Sociology, Vrije Universiteit Brussel, Brussels, Belgium</w:t>
      </w:r>
    </w:p>
    <w:p w:rsidR="00460B37" w:rsidRPr="006E06A6" w:rsidRDefault="00460B37" w:rsidP="00460B37">
      <w:pPr>
        <w:spacing w:line="480" w:lineRule="auto"/>
        <w:jc w:val="both"/>
        <w:rPr>
          <w:lang w:val="en-GB"/>
        </w:rPr>
      </w:pPr>
      <w:r>
        <w:rPr>
          <w:vertAlign w:val="superscript"/>
          <w:lang w:val="en-GB"/>
        </w:rPr>
        <w:t>f</w:t>
      </w:r>
      <w:r w:rsidRPr="006E06A6">
        <w:rPr>
          <w:lang w:val="en-GB"/>
        </w:rPr>
        <w:t xml:space="preserve"> Stockholm Centre on Health of Societies in Transition, Södertörn University, Huddinge, Sweden</w:t>
      </w:r>
    </w:p>
    <w:p w:rsidR="00460B37" w:rsidRPr="006E06A6" w:rsidRDefault="00460B37" w:rsidP="00460B37">
      <w:pPr>
        <w:spacing w:line="480" w:lineRule="auto"/>
        <w:jc w:val="both"/>
        <w:rPr>
          <w:lang w:val="en-GB"/>
        </w:rPr>
      </w:pPr>
      <w:r>
        <w:rPr>
          <w:vertAlign w:val="superscript"/>
          <w:lang w:val="en-GB"/>
        </w:rPr>
        <w:t>g</w:t>
      </w:r>
      <w:r w:rsidRPr="006E06A6">
        <w:rPr>
          <w:lang w:val="en-GB"/>
        </w:rPr>
        <w:t xml:space="preserve"> Department of Epidemiology and Biostatistics, National Institute for Health Development, Tallinn, Estonia </w:t>
      </w:r>
    </w:p>
    <w:p w:rsidR="00460B37" w:rsidRPr="006E06A6" w:rsidRDefault="00460B37" w:rsidP="00460B37">
      <w:pPr>
        <w:spacing w:line="480" w:lineRule="auto"/>
        <w:jc w:val="both"/>
        <w:rPr>
          <w:lang w:val="en-GB"/>
        </w:rPr>
      </w:pPr>
      <w:r>
        <w:rPr>
          <w:vertAlign w:val="superscript"/>
          <w:lang w:val="en-GB"/>
        </w:rPr>
        <w:t xml:space="preserve">h </w:t>
      </w:r>
      <w:r w:rsidRPr="006E06A6">
        <w:rPr>
          <w:lang w:val="en-GB"/>
        </w:rPr>
        <w:t>Department of Sociology, University of Helsinki, Helsinki, Finland</w:t>
      </w:r>
    </w:p>
    <w:p w:rsidR="00460B37" w:rsidRPr="006E06A6" w:rsidRDefault="00460B37" w:rsidP="00460B37">
      <w:pPr>
        <w:spacing w:line="480" w:lineRule="auto"/>
        <w:jc w:val="both"/>
        <w:rPr>
          <w:lang w:val="en-GB"/>
        </w:rPr>
      </w:pPr>
      <w:r>
        <w:rPr>
          <w:vertAlign w:val="superscript"/>
          <w:lang w:val="en-GB"/>
        </w:rPr>
        <w:t>i</w:t>
      </w:r>
      <w:r w:rsidRPr="006E06A6">
        <w:rPr>
          <w:lang w:val="en-GB"/>
        </w:rPr>
        <w:t xml:space="preserve"> Department of Demography and Geodemography, Faculty of Science, Charles University in Prague, Prague, Czech Republic</w:t>
      </w:r>
    </w:p>
    <w:p w:rsidR="00460B37" w:rsidRPr="006E06A6" w:rsidRDefault="00460B37" w:rsidP="00460B37">
      <w:pPr>
        <w:spacing w:line="480" w:lineRule="auto"/>
        <w:jc w:val="both"/>
        <w:rPr>
          <w:lang w:val="en-GB"/>
        </w:rPr>
      </w:pPr>
      <w:r>
        <w:rPr>
          <w:vertAlign w:val="superscript"/>
          <w:lang w:val="en-GB"/>
        </w:rPr>
        <w:t>j</w:t>
      </w:r>
      <w:r w:rsidRPr="006E06A6">
        <w:rPr>
          <w:lang w:val="en-GB"/>
        </w:rPr>
        <w:t xml:space="preserve"> Department-Centre for Monitoring and Analyses of Population Health Status and Health Care System, National Institute of Public Health – National Institute of Hygiene, Warsaw, Poland</w:t>
      </w:r>
    </w:p>
    <w:p w:rsidR="00460B37" w:rsidRPr="006E06A6" w:rsidRDefault="00460B37" w:rsidP="00460B37">
      <w:pPr>
        <w:spacing w:line="480" w:lineRule="auto"/>
        <w:jc w:val="both"/>
        <w:rPr>
          <w:lang w:val="en-GB"/>
        </w:rPr>
      </w:pPr>
      <w:r>
        <w:rPr>
          <w:vertAlign w:val="superscript"/>
          <w:lang w:val="en-GB"/>
        </w:rPr>
        <w:lastRenderedPageBreak/>
        <w:t>k</w:t>
      </w:r>
      <w:r w:rsidRPr="006E06A6">
        <w:rPr>
          <w:lang w:val="en-GB"/>
        </w:rPr>
        <w:t xml:space="preserve"> INSERM, UMR_S 1136, Pierre Louis Institute of Epidemiology and Public Health, 75013, Paris, France</w:t>
      </w:r>
    </w:p>
    <w:p w:rsidR="00460B37" w:rsidRPr="006E06A6" w:rsidRDefault="00460B37" w:rsidP="00460B37">
      <w:pPr>
        <w:spacing w:line="480" w:lineRule="auto"/>
        <w:jc w:val="both"/>
        <w:rPr>
          <w:lang w:val="en-GB"/>
        </w:rPr>
      </w:pPr>
      <w:r>
        <w:rPr>
          <w:vertAlign w:val="superscript"/>
          <w:lang w:val="en-GB"/>
        </w:rPr>
        <w:t>l</w:t>
      </w:r>
      <w:r w:rsidRPr="006E06A6">
        <w:rPr>
          <w:lang w:val="en-GB"/>
        </w:rPr>
        <w:t xml:space="preserve"> Sorbonne Universités, UPMC Univ Paris 06, UMR_S 1136, Pierre Louis Institute of</w:t>
      </w:r>
      <w:r>
        <w:rPr>
          <w:lang w:val="en-GB"/>
        </w:rPr>
        <w:t xml:space="preserve"> Epidemiology and Public Health, </w:t>
      </w:r>
      <w:r w:rsidRPr="006E06A6">
        <w:rPr>
          <w:lang w:val="en-GB"/>
        </w:rPr>
        <w:t xml:space="preserve">75013, Paris, France </w:t>
      </w:r>
    </w:p>
    <w:p w:rsidR="00460B37" w:rsidRPr="006E06A6" w:rsidRDefault="00460B37" w:rsidP="00460B37">
      <w:pPr>
        <w:spacing w:line="480" w:lineRule="auto"/>
        <w:jc w:val="both"/>
        <w:rPr>
          <w:lang w:val="en-GB"/>
        </w:rPr>
      </w:pPr>
    </w:p>
    <w:p w:rsidR="00460B37" w:rsidRDefault="00460B37" w:rsidP="00460B37">
      <w:pPr>
        <w:spacing w:line="480" w:lineRule="auto"/>
        <w:jc w:val="both"/>
        <w:rPr>
          <w:lang w:val="en-GB"/>
        </w:rPr>
      </w:pPr>
      <w:r>
        <w:rPr>
          <w:vertAlign w:val="superscript"/>
          <w:lang w:val="en-GB"/>
        </w:rPr>
        <w:t xml:space="preserve">* </w:t>
      </w:r>
      <w:r>
        <w:rPr>
          <w:lang w:val="en-GB"/>
        </w:rPr>
        <w:t>Cor</w:t>
      </w:r>
      <w:r w:rsidRPr="006E06A6">
        <w:rPr>
          <w:lang w:val="en-GB"/>
        </w:rPr>
        <w:t xml:space="preserve">responding author: </w:t>
      </w:r>
    </w:p>
    <w:p w:rsidR="00460B37" w:rsidRDefault="00460B37" w:rsidP="00460B37">
      <w:pPr>
        <w:spacing w:line="480" w:lineRule="auto"/>
        <w:jc w:val="both"/>
        <w:rPr>
          <w:lang w:val="en-GB"/>
        </w:rPr>
      </w:pPr>
      <w:r w:rsidRPr="006E06A6">
        <w:rPr>
          <w:lang w:val="en-GB"/>
        </w:rPr>
        <w:t>Department of Public Health, Erasmus M</w:t>
      </w:r>
      <w:r>
        <w:rPr>
          <w:lang w:val="en-GB"/>
        </w:rPr>
        <w:t>edical Center</w:t>
      </w:r>
      <w:r w:rsidRPr="006E06A6">
        <w:rPr>
          <w:lang w:val="en-GB"/>
        </w:rPr>
        <w:t>, P.O.</w:t>
      </w:r>
      <w:r>
        <w:rPr>
          <w:lang w:val="en-GB"/>
        </w:rPr>
        <w:t xml:space="preserve"> </w:t>
      </w:r>
      <w:r w:rsidRPr="006E06A6">
        <w:rPr>
          <w:lang w:val="en-GB"/>
        </w:rPr>
        <w:t>Box 2040, 3000 CA Rotterdam, The Netherland</w:t>
      </w:r>
      <w:r>
        <w:rPr>
          <w:lang w:val="en-GB"/>
        </w:rPr>
        <w:t>s</w:t>
      </w:r>
      <w:r w:rsidRPr="006E06A6">
        <w:rPr>
          <w:lang w:val="en-GB"/>
        </w:rPr>
        <w:t xml:space="preserve">. </w:t>
      </w:r>
    </w:p>
    <w:p w:rsidR="00460B37" w:rsidRDefault="00460B37" w:rsidP="00460B37">
      <w:pPr>
        <w:spacing w:line="480" w:lineRule="auto"/>
        <w:jc w:val="both"/>
        <w:rPr>
          <w:lang w:val="en-GB"/>
        </w:rPr>
      </w:pPr>
      <w:r>
        <w:rPr>
          <w:lang w:val="en-GB"/>
        </w:rPr>
        <w:t>Tel.: +31-107038456</w:t>
      </w:r>
    </w:p>
    <w:p w:rsidR="00460B37" w:rsidRDefault="00460B37" w:rsidP="00460B37">
      <w:pPr>
        <w:spacing w:line="480" w:lineRule="auto"/>
        <w:jc w:val="both"/>
        <w:rPr>
          <w:lang w:val="en-GB"/>
        </w:rPr>
      </w:pPr>
      <w:r>
        <w:rPr>
          <w:lang w:val="en-GB"/>
        </w:rPr>
        <w:t>Fax: +31-107038475</w:t>
      </w:r>
    </w:p>
    <w:p w:rsidR="00460B37" w:rsidRPr="006E06A6" w:rsidRDefault="00460B37" w:rsidP="00460B37">
      <w:pPr>
        <w:spacing w:line="480" w:lineRule="auto"/>
        <w:jc w:val="both"/>
        <w:rPr>
          <w:lang w:val="en-GB"/>
        </w:rPr>
      </w:pPr>
      <w:r w:rsidRPr="006E06A6">
        <w:rPr>
          <w:lang w:val="en-GB"/>
        </w:rPr>
        <w:t xml:space="preserve">Email: </w:t>
      </w:r>
      <w:hyperlink r:id="rId8" w:history="1">
        <w:r w:rsidRPr="006E06A6">
          <w:rPr>
            <w:rStyle w:val="Hyperlink"/>
            <w:lang w:val="en-GB"/>
          </w:rPr>
          <w:t>i.kulhanova@erasmusmc.nl</w:t>
        </w:r>
      </w:hyperlink>
    </w:p>
    <w:p w:rsidR="00460B37" w:rsidRDefault="00460B37" w:rsidP="00A117E5">
      <w:pPr>
        <w:spacing w:line="480" w:lineRule="auto"/>
        <w:jc w:val="both"/>
        <w:rPr>
          <w:b/>
          <w:lang w:val="en-GB"/>
        </w:rPr>
      </w:pPr>
    </w:p>
    <w:p w:rsidR="00460B37" w:rsidRDefault="00460B37" w:rsidP="00A117E5">
      <w:pPr>
        <w:spacing w:line="480" w:lineRule="auto"/>
        <w:jc w:val="both"/>
        <w:rPr>
          <w:b/>
          <w:lang w:val="en-GB"/>
        </w:rPr>
        <w:sectPr w:rsidR="00460B37">
          <w:footerReference w:type="even" r:id="rId9"/>
          <w:footerReference w:type="default" r:id="rId10"/>
          <w:pgSz w:w="11906" w:h="16838"/>
          <w:pgMar w:top="1417" w:right="1417" w:bottom="1417" w:left="1417" w:header="708" w:footer="708" w:gutter="0"/>
          <w:cols w:space="708"/>
          <w:docGrid w:linePitch="360"/>
        </w:sectPr>
      </w:pPr>
    </w:p>
    <w:p w:rsidR="00E60955" w:rsidRPr="00924C77" w:rsidRDefault="00E60955" w:rsidP="00A117E5">
      <w:pPr>
        <w:spacing w:line="480" w:lineRule="auto"/>
        <w:jc w:val="both"/>
        <w:rPr>
          <w:b/>
          <w:lang w:val="en-GB"/>
        </w:rPr>
      </w:pPr>
      <w:r w:rsidRPr="00924C77">
        <w:rPr>
          <w:b/>
          <w:lang w:val="en-GB"/>
        </w:rPr>
        <w:lastRenderedPageBreak/>
        <w:t>Abstract</w:t>
      </w:r>
    </w:p>
    <w:p w:rsidR="00E60955" w:rsidRPr="00924C77" w:rsidRDefault="00E60955" w:rsidP="00A117E5">
      <w:pPr>
        <w:spacing w:line="480" w:lineRule="auto"/>
        <w:jc w:val="both"/>
        <w:rPr>
          <w:lang w:val="en-GB"/>
        </w:rPr>
      </w:pPr>
      <w:r w:rsidRPr="00924C77">
        <w:rPr>
          <w:lang w:val="en-GB"/>
        </w:rPr>
        <w:t xml:space="preserve">Although higher education has been associated with lower mortality rates in many studies, the effect of potential improvements in educational distribution on future mortality levels is unknown. We therefore estimated the impact of </w:t>
      </w:r>
      <w:r>
        <w:rPr>
          <w:lang w:val="en-GB"/>
        </w:rPr>
        <w:t xml:space="preserve">projected </w:t>
      </w:r>
      <w:r w:rsidRPr="00924C77">
        <w:rPr>
          <w:lang w:val="en-GB"/>
        </w:rPr>
        <w:t xml:space="preserve">increases in higher education on mortality in European populations. We used mortality and population data according to educational level from 21 European populations and developed counterfactual scenarios. The first scenario represented the improvement in the future distribution of educational attainment as expected on the basis of an assumption of cohort replacement. We estimated the effect of this counterfactual scenario on mortality </w:t>
      </w:r>
      <w:r>
        <w:rPr>
          <w:lang w:val="en-GB"/>
        </w:rPr>
        <w:t xml:space="preserve">with </w:t>
      </w:r>
      <w:r w:rsidRPr="00924C77">
        <w:rPr>
          <w:lang w:val="en-GB"/>
        </w:rPr>
        <w:t>a 10</w:t>
      </w:r>
      <w:r w:rsidR="00D2351A">
        <w:rPr>
          <w:lang w:val="en-GB"/>
        </w:rPr>
        <w:t>–</w:t>
      </w:r>
      <w:r w:rsidRPr="00924C77">
        <w:rPr>
          <w:lang w:val="en-GB"/>
        </w:rPr>
        <w:t>15-year time horizon among men and women aged 30</w:t>
      </w:r>
      <w:r w:rsidR="00D2351A">
        <w:rPr>
          <w:lang w:val="en-GB"/>
        </w:rPr>
        <w:t>–</w:t>
      </w:r>
      <w:r w:rsidRPr="00924C77">
        <w:rPr>
          <w:lang w:val="en-GB"/>
        </w:rPr>
        <w:t xml:space="preserve">79 years using a specially developed tool based on population attributable fractions (PAF). </w:t>
      </w:r>
      <w:r>
        <w:rPr>
          <w:lang w:val="en-GB"/>
        </w:rPr>
        <w:t>W</w:t>
      </w:r>
      <w:r w:rsidRPr="00924C77">
        <w:rPr>
          <w:lang w:val="en-GB"/>
        </w:rPr>
        <w:t>e compared this with a</w:t>
      </w:r>
      <w:r>
        <w:rPr>
          <w:lang w:val="en-GB"/>
        </w:rPr>
        <w:t xml:space="preserve"> second,</w:t>
      </w:r>
      <w:r w:rsidRPr="00924C77">
        <w:rPr>
          <w:lang w:val="en-GB"/>
        </w:rPr>
        <w:t xml:space="preserve"> upward levelling scenario in which everyone has </w:t>
      </w:r>
      <w:r>
        <w:rPr>
          <w:lang w:val="en-GB"/>
        </w:rPr>
        <w:t xml:space="preserve">obtained </w:t>
      </w:r>
      <w:r w:rsidRPr="00924C77">
        <w:rPr>
          <w:lang w:val="en-GB"/>
        </w:rPr>
        <w:t xml:space="preserve">tertiary education. The reduction </w:t>
      </w:r>
      <w:r>
        <w:rPr>
          <w:lang w:val="en-GB"/>
        </w:rPr>
        <w:t xml:space="preserve">of </w:t>
      </w:r>
      <w:r w:rsidRPr="00924C77">
        <w:rPr>
          <w:lang w:val="en-GB"/>
        </w:rPr>
        <w:t xml:space="preserve">mortality </w:t>
      </w:r>
      <w:r>
        <w:rPr>
          <w:lang w:val="en-GB"/>
        </w:rPr>
        <w:t xml:space="preserve">in the cohort replacement scenario </w:t>
      </w:r>
      <w:r w:rsidRPr="00924C77">
        <w:rPr>
          <w:lang w:val="en-GB"/>
        </w:rPr>
        <w:t>ranged from 1.</w:t>
      </w:r>
      <w:r>
        <w:rPr>
          <w:lang w:val="en-GB"/>
        </w:rPr>
        <w:t>9</w:t>
      </w:r>
      <w:r w:rsidRPr="00924C77">
        <w:rPr>
          <w:lang w:val="en-GB"/>
        </w:rPr>
        <w:t xml:space="preserve"> to 10.1% for men and from 1.7 to 9.0</w:t>
      </w:r>
      <w:r>
        <w:rPr>
          <w:lang w:val="en-GB"/>
        </w:rPr>
        <w:t xml:space="preserve">% for women. The reduction of mortality in the upward levelling scenario ranged from 22.0 to 57.0% for men and from 9.6 to 50.0% for women. The cohort replacement scenario </w:t>
      </w:r>
      <w:r w:rsidRPr="00924C77">
        <w:rPr>
          <w:lang w:val="en-GB"/>
        </w:rPr>
        <w:t xml:space="preserve">was estimated to </w:t>
      </w:r>
      <w:r>
        <w:rPr>
          <w:lang w:val="en-GB"/>
        </w:rPr>
        <w:t>achieve only part (4–25% (men) and 10–31% (women))</w:t>
      </w:r>
      <w:r w:rsidRPr="00924C77">
        <w:rPr>
          <w:lang w:val="en-GB"/>
        </w:rPr>
        <w:t xml:space="preserve"> of the </w:t>
      </w:r>
      <w:r>
        <w:rPr>
          <w:lang w:val="en-GB"/>
        </w:rPr>
        <w:t xml:space="preserve">potential mortality decrease seen in </w:t>
      </w:r>
      <w:r w:rsidRPr="00924C77">
        <w:rPr>
          <w:lang w:val="en-GB"/>
        </w:rPr>
        <w:t xml:space="preserve">the upward levelling scenario. </w:t>
      </w:r>
      <w:r>
        <w:rPr>
          <w:lang w:val="en-GB"/>
        </w:rPr>
        <w:t>We concluded that t</w:t>
      </w:r>
      <w:r w:rsidRPr="00924C77">
        <w:rPr>
          <w:lang w:val="en-GB"/>
        </w:rPr>
        <w:t xml:space="preserve">he effect of </w:t>
      </w:r>
      <w:r>
        <w:rPr>
          <w:lang w:val="en-GB"/>
        </w:rPr>
        <w:t xml:space="preserve">on-going </w:t>
      </w:r>
      <w:r w:rsidRPr="00924C77">
        <w:rPr>
          <w:lang w:val="en-GB"/>
        </w:rPr>
        <w:t xml:space="preserve">improvements in educational attainment on average mortality in the population differs across Europe, and can be substantial. </w:t>
      </w:r>
      <w:r>
        <w:rPr>
          <w:lang w:val="en-GB"/>
        </w:rPr>
        <w:t>Further i</w:t>
      </w:r>
      <w:r w:rsidRPr="00924C77">
        <w:rPr>
          <w:lang w:val="en-GB"/>
        </w:rPr>
        <w:t xml:space="preserve">nvestments in education </w:t>
      </w:r>
      <w:r>
        <w:rPr>
          <w:lang w:val="en-GB"/>
        </w:rPr>
        <w:t xml:space="preserve">may </w:t>
      </w:r>
      <w:r w:rsidRPr="00924C77">
        <w:rPr>
          <w:lang w:val="en-GB"/>
        </w:rPr>
        <w:t xml:space="preserve">have important </w:t>
      </w:r>
      <w:r>
        <w:rPr>
          <w:lang w:val="en-GB"/>
        </w:rPr>
        <w:t>positive side-</w:t>
      </w:r>
      <w:r w:rsidRPr="00924C77">
        <w:rPr>
          <w:lang w:val="en-GB"/>
        </w:rPr>
        <w:t xml:space="preserve">effects on population health. </w:t>
      </w:r>
    </w:p>
    <w:p w:rsidR="00E60955" w:rsidRPr="00924C77" w:rsidRDefault="00E60955" w:rsidP="00A117E5">
      <w:pPr>
        <w:spacing w:line="480" w:lineRule="auto"/>
        <w:jc w:val="both"/>
        <w:rPr>
          <w:b/>
          <w:lang w:val="en-GB"/>
        </w:rPr>
      </w:pPr>
    </w:p>
    <w:p w:rsidR="00E60955" w:rsidRPr="00924C77" w:rsidRDefault="00E60955" w:rsidP="00A117E5">
      <w:pPr>
        <w:spacing w:line="480" w:lineRule="auto"/>
        <w:jc w:val="both"/>
        <w:rPr>
          <w:b/>
          <w:lang w:val="en-GB"/>
        </w:rPr>
        <w:sectPr w:rsidR="00E60955" w:rsidRPr="00924C77">
          <w:pgSz w:w="11906" w:h="16838"/>
          <w:pgMar w:top="1417" w:right="1417" w:bottom="1417" w:left="1417" w:header="708" w:footer="708" w:gutter="0"/>
          <w:cols w:space="708"/>
          <w:docGrid w:linePitch="360"/>
        </w:sectPr>
      </w:pPr>
      <w:r w:rsidRPr="00924C77">
        <w:rPr>
          <w:b/>
          <w:lang w:val="en-GB"/>
        </w:rPr>
        <w:t xml:space="preserve">Keywords: </w:t>
      </w:r>
      <w:r w:rsidR="00580495" w:rsidRPr="00580495">
        <w:rPr>
          <w:lang w:val="en-GB"/>
        </w:rPr>
        <w:t>Europe; mortality; education; population attributable fraction; counterfactual scenarios</w:t>
      </w:r>
    </w:p>
    <w:p w:rsidR="00E60955" w:rsidRPr="00924C77" w:rsidRDefault="00E60955" w:rsidP="00A117E5">
      <w:pPr>
        <w:spacing w:line="480" w:lineRule="auto"/>
        <w:jc w:val="both"/>
        <w:rPr>
          <w:b/>
          <w:lang w:val="en-GB"/>
        </w:rPr>
      </w:pPr>
      <w:r w:rsidRPr="00924C77">
        <w:rPr>
          <w:b/>
          <w:lang w:val="en-GB"/>
        </w:rPr>
        <w:lastRenderedPageBreak/>
        <w:t>Introduction</w:t>
      </w:r>
    </w:p>
    <w:p w:rsidR="00E60955" w:rsidRDefault="00E60955" w:rsidP="00A117E5">
      <w:pPr>
        <w:spacing w:line="480" w:lineRule="auto"/>
        <w:jc w:val="both"/>
        <w:rPr>
          <w:lang w:val="en-GB"/>
        </w:rPr>
      </w:pPr>
      <w:r w:rsidRPr="00924C77">
        <w:rPr>
          <w:lang w:val="en-GB"/>
        </w:rPr>
        <w:t xml:space="preserve">Lower education has been associated with </w:t>
      </w:r>
      <w:r>
        <w:rPr>
          <w:lang w:val="en-GB"/>
        </w:rPr>
        <w:t xml:space="preserve">many health-related outcomes, including self-reported health, physical functioning, disability, morbidity and mortality </w:t>
      </w:r>
      <w:r w:rsidRPr="00924C77">
        <w:rPr>
          <w:noProof/>
          <w:lang w:val="en-GB"/>
        </w:rPr>
        <w:t>(Hoffmann, 2011; Huisman, Kunst, Bopp, Borgan, Borrell, Costa et al., 2005; Kilander, Berglund, Boberg, Vessby, &amp; Lithell, 2001; Steenland, Henley, &amp; Thun, 2002)</w:t>
      </w:r>
      <w:r w:rsidRPr="00924C77">
        <w:rPr>
          <w:lang w:val="en-GB"/>
        </w:rPr>
        <w:t xml:space="preserve">. </w:t>
      </w:r>
      <w:r>
        <w:rPr>
          <w:lang w:val="en-GB"/>
        </w:rPr>
        <w:t xml:space="preserve">Although social selection may partly explain this relationship (ill individuals underperform in school and therefore do not achieve a high level of education </w:t>
      </w:r>
      <w:r>
        <w:rPr>
          <w:noProof/>
          <w:lang w:val="en-GB"/>
        </w:rPr>
        <w:t>(Blane, Smith, &amp; Bartley, 1993; Lundberg, 1991)</w:t>
      </w:r>
      <w:r>
        <w:rPr>
          <w:lang w:val="en-GB"/>
        </w:rPr>
        <w:t xml:space="preserve">), this probably has only a small impact and cannot explain the educational gradient in health </w:t>
      </w:r>
      <w:r w:rsidR="006427B4">
        <w:rPr>
          <w:noProof/>
          <w:lang w:val="en-GB"/>
        </w:rPr>
        <w:t>(</w:t>
      </w:r>
      <w:r>
        <w:rPr>
          <w:noProof/>
          <w:lang w:val="en-GB"/>
        </w:rPr>
        <w:t>Power, Manor, Fox, &amp; Fogelman, 1990)</w:t>
      </w:r>
      <w:r>
        <w:rPr>
          <w:lang w:val="en-GB"/>
        </w:rPr>
        <w:t xml:space="preserve">. </w:t>
      </w:r>
    </w:p>
    <w:p w:rsidR="00E60955" w:rsidRDefault="00E60955" w:rsidP="00A117E5">
      <w:pPr>
        <w:spacing w:line="480" w:lineRule="auto"/>
        <w:ind w:firstLine="284"/>
        <w:jc w:val="both"/>
        <w:rPr>
          <w:lang w:val="en-GB"/>
        </w:rPr>
      </w:pPr>
      <w:r>
        <w:rPr>
          <w:lang w:val="en-GB"/>
        </w:rPr>
        <w:t xml:space="preserve">Recently, studies exploiting natural experiments in which changes in educational level were exogenously imposed have indeed shown that the main explanation for educational inequalities in health is a causal effect of education on health </w:t>
      </w:r>
      <w:r>
        <w:rPr>
          <w:noProof/>
          <w:lang w:val="en-GB"/>
        </w:rPr>
        <w:t>(Albouy &amp; Lequien, 2009; Clark &amp; Royer, 2013; Cutler &amp; Lleras-Muney, 2008; Lager &amp; Torssander, 2012; Lleras-Muney, 2005; Meghir &amp; Palme, 2005; van Kippersluis, O'Donnell, &amp; van Doorslaer, 2009)</w:t>
      </w:r>
      <w:r>
        <w:rPr>
          <w:lang w:val="en-GB"/>
        </w:rPr>
        <w:t xml:space="preserve">. The majority of the studies used school reforms or compulsory schooling laws and assessed their effect in a regression discontinuity design. The results </w:t>
      </w:r>
      <w:r w:rsidRPr="00924C77">
        <w:rPr>
          <w:lang w:val="en-GB"/>
        </w:rPr>
        <w:t>impl</w:t>
      </w:r>
      <w:r>
        <w:rPr>
          <w:lang w:val="en-GB"/>
        </w:rPr>
        <w:t>y</w:t>
      </w:r>
      <w:r w:rsidRPr="00924C77">
        <w:rPr>
          <w:lang w:val="en-GB"/>
        </w:rPr>
        <w:t xml:space="preserve"> that changes in educational attainment, such as those resulting from school reforms which aimed at increasing the amount of compulsory schooling and from the expansion of opportunities for higher education </w:t>
      </w:r>
      <w:r w:rsidRPr="00924C77">
        <w:rPr>
          <w:noProof/>
          <w:lang w:val="en-GB"/>
        </w:rPr>
        <w:t>(Boli, Ramirez, &amp; Meyer, 1985; Craig, 1981; McCain, 1960)</w:t>
      </w:r>
      <w:r w:rsidRPr="00924C77">
        <w:rPr>
          <w:lang w:val="en-GB"/>
        </w:rPr>
        <w:t xml:space="preserve">, may have had important </w:t>
      </w:r>
      <w:r>
        <w:rPr>
          <w:lang w:val="en-GB"/>
        </w:rPr>
        <w:t xml:space="preserve">positive </w:t>
      </w:r>
      <w:r w:rsidRPr="00924C77">
        <w:rPr>
          <w:lang w:val="en-GB"/>
        </w:rPr>
        <w:t xml:space="preserve">side-effects for population health </w:t>
      </w:r>
      <w:r>
        <w:rPr>
          <w:noProof/>
          <w:lang w:val="en-GB"/>
        </w:rPr>
        <w:t>(Lutz &amp; KC, 2011; Shkolnikov, Andreev, Jasilionis, Leinsalu, Antonova, &amp; McKee, 2006)</w:t>
      </w:r>
      <w:r w:rsidRPr="00924C77">
        <w:rPr>
          <w:lang w:val="en-GB"/>
        </w:rPr>
        <w:t xml:space="preserve">. </w:t>
      </w:r>
      <w:r>
        <w:rPr>
          <w:lang w:val="en-GB"/>
        </w:rPr>
        <w:t xml:space="preserve">It has been reported that an additional year of schooling increased life expectancy at the age of 35 by 1.7 years </w:t>
      </w:r>
      <w:r>
        <w:rPr>
          <w:noProof/>
          <w:lang w:val="en-GB"/>
        </w:rPr>
        <w:t>(Lleras-Muney, 2005)</w:t>
      </w:r>
      <w:r>
        <w:rPr>
          <w:lang w:val="en-GB"/>
        </w:rPr>
        <w:t xml:space="preserve"> or reduced the probability of dying by 1.1 percentage points for men and by 0.8–0.9 percentage points for women </w:t>
      </w:r>
      <w:r>
        <w:rPr>
          <w:noProof/>
          <w:lang w:val="en-GB"/>
        </w:rPr>
        <w:t>(van Kippersluis et al., 2009)</w:t>
      </w:r>
      <w:r>
        <w:rPr>
          <w:lang w:val="en-GB"/>
        </w:rPr>
        <w:t xml:space="preserve">. Lager &amp; Torssander </w:t>
      </w:r>
      <w:r>
        <w:rPr>
          <w:noProof/>
          <w:lang w:val="en-GB"/>
        </w:rPr>
        <w:t>(2012)</w:t>
      </w:r>
      <w:r>
        <w:rPr>
          <w:lang w:val="en-GB"/>
        </w:rPr>
        <w:t xml:space="preserve"> have shown that a one-year </w:t>
      </w:r>
      <w:r>
        <w:rPr>
          <w:lang w:val="en-GB"/>
        </w:rPr>
        <w:lastRenderedPageBreak/>
        <w:t>increase in compulsory schooling was associated with a 4% lower risk of all-cause mortality after the age of 40.</w:t>
      </w:r>
    </w:p>
    <w:p w:rsidR="00E60955" w:rsidRDefault="00E60955" w:rsidP="00A117E5">
      <w:pPr>
        <w:spacing w:line="480" w:lineRule="auto"/>
        <w:ind w:firstLine="284"/>
        <w:jc w:val="both"/>
        <w:rPr>
          <w:lang w:val="en-GB"/>
        </w:rPr>
      </w:pPr>
      <w:r>
        <w:rPr>
          <w:lang w:val="en-GB"/>
        </w:rPr>
        <w:t xml:space="preserve">Changes in society,  such as the introduction of information and communication technology, require a growing participation in higher education </w:t>
      </w:r>
      <w:r>
        <w:rPr>
          <w:noProof/>
          <w:lang w:val="en-GB"/>
        </w:rPr>
        <w:t>(Green, 1999;</w:t>
      </w:r>
      <w:r w:rsidR="006427B4">
        <w:rPr>
          <w:noProof/>
          <w:lang w:val="en-GB"/>
        </w:rPr>
        <w:t xml:space="preserve"> </w:t>
      </w:r>
      <w:r>
        <w:rPr>
          <w:noProof/>
          <w:lang w:val="en-GB"/>
        </w:rPr>
        <w:t>Power, 2000)</w:t>
      </w:r>
      <w:r>
        <w:rPr>
          <w:lang w:val="en-GB"/>
        </w:rPr>
        <w:t xml:space="preserve">. </w:t>
      </w:r>
      <w:r w:rsidRPr="00924C77">
        <w:rPr>
          <w:lang w:val="en-GB"/>
        </w:rPr>
        <w:t xml:space="preserve">Consistent improvements in educational attainment over time </w:t>
      </w:r>
      <w:r>
        <w:rPr>
          <w:lang w:val="en-GB"/>
        </w:rPr>
        <w:t xml:space="preserve">for both </w:t>
      </w:r>
      <w:r w:rsidRPr="00924C77">
        <w:rPr>
          <w:lang w:val="en-GB"/>
        </w:rPr>
        <w:t>gender</w:t>
      </w:r>
      <w:r>
        <w:rPr>
          <w:lang w:val="en-GB"/>
        </w:rPr>
        <w:t>s</w:t>
      </w:r>
      <w:r w:rsidRPr="00924C77">
        <w:rPr>
          <w:lang w:val="en-GB"/>
        </w:rPr>
        <w:t xml:space="preserve"> have</w:t>
      </w:r>
      <w:r>
        <w:rPr>
          <w:lang w:val="en-GB"/>
        </w:rPr>
        <w:t xml:space="preserve"> indeed</w:t>
      </w:r>
      <w:r w:rsidRPr="00924C77">
        <w:rPr>
          <w:lang w:val="en-GB"/>
        </w:rPr>
        <w:t xml:space="preserve"> been reported in all European countries </w:t>
      </w:r>
      <w:r>
        <w:rPr>
          <w:noProof/>
          <w:lang w:val="en-GB"/>
        </w:rPr>
        <w:t>(Gakidou, Cowling, Lozano, &amp; Murray, 2010; OECD, 2010; Schofer &amp; Meyer, 2005)</w:t>
      </w:r>
      <w:r w:rsidRPr="00924C77">
        <w:rPr>
          <w:lang w:val="en-GB"/>
        </w:rPr>
        <w:t>.</w:t>
      </w:r>
      <w:r>
        <w:rPr>
          <w:lang w:val="en-GB"/>
        </w:rPr>
        <w:t xml:space="preserve"> On average across OECD countries, it has been shown that between 1998 and 2008 the proportion of the 25–64 year-old population with less than upper secondary education decreased from 37% to 29%. At the same time, the proportion with upper secondary and post-secondary non-tertiary education remained almost unchanged (42% in 1998 vs. 44% in 2008), whereas that with tertiary education increased from 21% to 28% </w:t>
      </w:r>
      <w:r>
        <w:rPr>
          <w:noProof/>
          <w:lang w:val="en-GB"/>
        </w:rPr>
        <w:t>(OECD, 2010)</w:t>
      </w:r>
      <w:r>
        <w:rPr>
          <w:lang w:val="en-GB"/>
        </w:rPr>
        <w:t xml:space="preserve">. The increase in the percentage of tertiary educated in the OECD countries is the result of a 3.4% average annual growth rate in tertiary education. The average annual growth in tertiary education even exceeded 5% between 1998 and 2008 in Italy, Portugal and Poland, European countries in which overall levels of tertiary education were low at the beginning of the decade </w:t>
      </w:r>
      <w:r>
        <w:rPr>
          <w:noProof/>
          <w:lang w:val="en-GB"/>
        </w:rPr>
        <w:t>(OECD, 2010)</w:t>
      </w:r>
      <w:r>
        <w:rPr>
          <w:lang w:val="en-GB"/>
        </w:rPr>
        <w:t xml:space="preserve">. Further, a few studies projected the trends in educational attainment in a large amount of countries </w:t>
      </w:r>
      <w:r>
        <w:rPr>
          <w:noProof/>
          <w:lang w:val="en-GB"/>
        </w:rPr>
        <w:t>(Barro &amp; Lee, 2001; Cohen &amp; Soto, 2007; Lutz, Goujon, KC, &amp; Sanderson, 2007)</w:t>
      </w:r>
      <w:r>
        <w:rPr>
          <w:lang w:val="en-GB"/>
        </w:rPr>
        <w:t>, but they did not provide any estimates regarding the effect of increasing education on health.</w:t>
      </w:r>
    </w:p>
    <w:p w:rsidR="00E60955" w:rsidRDefault="00E60955" w:rsidP="00A117E5">
      <w:pPr>
        <w:spacing w:line="480" w:lineRule="auto"/>
        <w:ind w:firstLine="284"/>
        <w:jc w:val="both"/>
        <w:rPr>
          <w:lang w:val="en-GB"/>
        </w:rPr>
      </w:pPr>
      <w:r>
        <w:rPr>
          <w:lang w:val="en-GB"/>
        </w:rPr>
        <w:t>In view of the documented health effects of education, these trends could well have an important impact on population health. However, s</w:t>
      </w:r>
      <w:r w:rsidRPr="00924C77">
        <w:rPr>
          <w:lang w:val="en-GB"/>
        </w:rPr>
        <w:t xml:space="preserve">tudies that have quantified the effect of future improvements in educational attainment on population health are scarce. </w:t>
      </w:r>
      <w:r>
        <w:rPr>
          <w:lang w:val="en-GB"/>
        </w:rPr>
        <w:t xml:space="preserve">Although some recent studies quantified the health benefits obtained from investments in education in several populations, their estimates were related to the projection of future disability prevalence </w:t>
      </w:r>
      <w:r>
        <w:rPr>
          <w:noProof/>
          <w:lang w:val="en-GB"/>
        </w:rPr>
        <w:t>(KC &amp; Lentzner, 2010; Lutz, 2009; Lutz, KC, Khan, Scherbov, &amp; Leeson, 2007)</w:t>
      </w:r>
      <w:r>
        <w:rPr>
          <w:lang w:val="en-GB"/>
        </w:rPr>
        <w:t xml:space="preserve"> </w:t>
      </w:r>
      <w:r>
        <w:rPr>
          <w:lang w:val="en-GB"/>
        </w:rPr>
        <w:lastRenderedPageBreak/>
        <w:t xml:space="preserve">or to the contribution of improvements in education to the reduction in child mortality </w:t>
      </w:r>
      <w:r>
        <w:rPr>
          <w:noProof/>
          <w:lang w:val="en-GB"/>
        </w:rPr>
        <w:t>(Gakidou et al., 2010)</w:t>
      </w:r>
      <w:r>
        <w:rPr>
          <w:lang w:val="en-GB"/>
        </w:rPr>
        <w:t>. To the best of our knowledge, there is no study assessing the effect of on-going improvements in educational attainment on adult mortality.</w:t>
      </w:r>
    </w:p>
    <w:p w:rsidR="00E60955" w:rsidRPr="00924C77" w:rsidRDefault="00E60955" w:rsidP="00A117E5">
      <w:pPr>
        <w:spacing w:line="480" w:lineRule="auto"/>
        <w:ind w:firstLine="284"/>
        <w:jc w:val="both"/>
        <w:rPr>
          <w:lang w:val="en-GB"/>
        </w:rPr>
      </w:pPr>
      <w:r w:rsidRPr="00924C77">
        <w:rPr>
          <w:lang w:val="en-GB"/>
        </w:rPr>
        <w:t xml:space="preserve">The aim of the present analysis was </w:t>
      </w:r>
      <w:r>
        <w:rPr>
          <w:lang w:val="en-GB"/>
        </w:rPr>
        <w:t xml:space="preserve">therefore </w:t>
      </w:r>
      <w:r w:rsidRPr="00924C77">
        <w:rPr>
          <w:lang w:val="en-GB"/>
        </w:rPr>
        <w:t>to estimate future reductions in mortality due to further improvements in educational attainment in 21 European populations. To do so, we developed counterfactual scenarios using the changing social distribution of educational attainment over time</w:t>
      </w:r>
      <w:r>
        <w:rPr>
          <w:lang w:val="en-GB"/>
        </w:rPr>
        <w:t>,</w:t>
      </w:r>
      <w:r w:rsidRPr="00924C77">
        <w:rPr>
          <w:lang w:val="en-GB"/>
        </w:rPr>
        <w:t xml:space="preserve"> and </w:t>
      </w:r>
      <w:r>
        <w:rPr>
          <w:lang w:val="en-GB"/>
        </w:rPr>
        <w:t xml:space="preserve">applied these scenarios using currently </w:t>
      </w:r>
      <w:r w:rsidRPr="00924C77">
        <w:rPr>
          <w:lang w:val="en-GB"/>
        </w:rPr>
        <w:t xml:space="preserve">observed mortality risks by country and </w:t>
      </w:r>
      <w:r>
        <w:rPr>
          <w:lang w:val="en-GB"/>
        </w:rPr>
        <w:t xml:space="preserve">level of education, and a method based on </w:t>
      </w:r>
      <w:r w:rsidRPr="00924C77">
        <w:rPr>
          <w:lang w:val="en-GB"/>
        </w:rPr>
        <w:t xml:space="preserve">the population attributable fraction (PAF). </w:t>
      </w:r>
    </w:p>
    <w:p w:rsidR="00E60955" w:rsidRPr="00924C77" w:rsidRDefault="00E60955" w:rsidP="00A117E5">
      <w:pPr>
        <w:spacing w:line="480" w:lineRule="auto"/>
        <w:jc w:val="both"/>
        <w:rPr>
          <w:b/>
          <w:lang w:val="en-GB"/>
        </w:rPr>
        <w:sectPr w:rsidR="00E60955" w:rsidRPr="00924C77">
          <w:pgSz w:w="11906" w:h="16838"/>
          <w:pgMar w:top="1417" w:right="1417" w:bottom="1417" w:left="1417" w:header="708" w:footer="708" w:gutter="0"/>
          <w:cols w:space="708"/>
          <w:docGrid w:linePitch="360"/>
        </w:sectPr>
      </w:pPr>
    </w:p>
    <w:p w:rsidR="00E60955" w:rsidRPr="00924C77" w:rsidRDefault="00E60955" w:rsidP="00A117E5">
      <w:pPr>
        <w:spacing w:line="480" w:lineRule="auto"/>
        <w:jc w:val="both"/>
        <w:rPr>
          <w:b/>
          <w:lang w:val="en-GB"/>
        </w:rPr>
      </w:pPr>
      <w:r w:rsidRPr="00924C77">
        <w:rPr>
          <w:b/>
          <w:lang w:val="en-GB"/>
        </w:rPr>
        <w:lastRenderedPageBreak/>
        <w:t>Data and methods</w:t>
      </w:r>
    </w:p>
    <w:p w:rsidR="00E60955" w:rsidRPr="00924C77" w:rsidRDefault="00E60955" w:rsidP="00A117E5">
      <w:pPr>
        <w:spacing w:line="480" w:lineRule="auto"/>
        <w:jc w:val="both"/>
        <w:rPr>
          <w:i/>
          <w:lang w:val="en-GB"/>
        </w:rPr>
      </w:pPr>
      <w:r w:rsidRPr="00924C77">
        <w:rPr>
          <w:i/>
          <w:lang w:val="en-GB"/>
        </w:rPr>
        <w:t>Data description</w:t>
      </w:r>
    </w:p>
    <w:p w:rsidR="00E60955" w:rsidRPr="00924C77" w:rsidRDefault="00E60955" w:rsidP="00A117E5">
      <w:pPr>
        <w:spacing w:line="480" w:lineRule="auto"/>
        <w:jc w:val="both"/>
        <w:rPr>
          <w:lang w:val="en-GB"/>
        </w:rPr>
      </w:pPr>
      <w:r w:rsidRPr="00924C77">
        <w:rPr>
          <w:lang w:val="en-GB"/>
        </w:rPr>
        <w:t xml:space="preserve">The analysis was based on mortality data from 21 European populations. Most data covered the entire national territory (Finland, Sweden, Norway, Denmark, England </w:t>
      </w:r>
      <w:r w:rsidR="00E3670E">
        <w:rPr>
          <w:lang w:val="en-GB"/>
        </w:rPr>
        <w:t>and</w:t>
      </w:r>
      <w:r w:rsidRPr="00924C77">
        <w:rPr>
          <w:lang w:val="en-GB"/>
        </w:rPr>
        <w:t xml:space="preserve"> Wales, Scotland, Netherlands, Belgium, France, Switzerland, Austria, Hungary, Czech Republic, Poland, Lithuania, Estonia). The exceptions were Italy and Spain, for which we had data limited to regional territory (Madrid and the Basque Country) or urban areas (</w:t>
      </w:r>
      <w:r>
        <w:rPr>
          <w:lang w:val="en-GB"/>
        </w:rPr>
        <w:t xml:space="preserve">Barcelona, Turin and </w:t>
      </w:r>
      <w:r w:rsidRPr="00924C77">
        <w:rPr>
          <w:lang w:val="en-GB"/>
        </w:rPr>
        <w:t xml:space="preserve">Tuscany: Florence, Leghorn, Prato). Longitudinal data were available for most of the European populations investigated. For </w:t>
      </w:r>
      <w:r w:rsidR="00E3670E">
        <w:rPr>
          <w:lang w:val="en-GB"/>
        </w:rPr>
        <w:t>c</w:t>
      </w:r>
      <w:r w:rsidRPr="00924C77">
        <w:rPr>
          <w:lang w:val="en-GB"/>
        </w:rPr>
        <w:t>entral</w:t>
      </w:r>
      <w:r w:rsidR="00E3670E">
        <w:rPr>
          <w:lang w:val="en-GB"/>
        </w:rPr>
        <w:t>/e</w:t>
      </w:r>
      <w:r w:rsidRPr="00924C77">
        <w:rPr>
          <w:lang w:val="en-GB"/>
        </w:rPr>
        <w:t xml:space="preserve">astern European countries (Hungary, Czech Republic, Poland and Estonia), cross-sectional data, aggregated over a few years around the year 2000, were collected. These data consisted of deaths and exposure counts by sex, 5-year age groups and level of education (Table 1). </w:t>
      </w:r>
    </w:p>
    <w:p w:rsidR="00E60955" w:rsidRPr="00924C77" w:rsidRDefault="00E60955" w:rsidP="00A117E5">
      <w:pPr>
        <w:spacing w:line="480" w:lineRule="auto"/>
        <w:ind w:firstLine="284"/>
        <w:jc w:val="both"/>
        <w:rPr>
          <w:lang w:val="en-GB"/>
        </w:rPr>
      </w:pPr>
      <w:r w:rsidRPr="00924C77">
        <w:rPr>
          <w:lang w:val="en-GB"/>
        </w:rPr>
        <w:t>The registries of deaths were linked with census data (in most of the European populations) or with a Labour Force Survey (in the Netherlands). In some countries, it was not possible to achieve 100% linkage between the population and the death registries. The percentage of unlinked deaths was higher than 5% in Austria, Barcelona, the Basque Country and Madrid. In Madrid, approximately 20% of deaths had to be excluded due to linkage failure. To adjust for the unlinked deaths, weights were applied for those four populations. In Austria, the weight was broken down by sex and 5-year age groups. In Barcelona, the Basque Country and Madrid, there were no variations by age and sex for excluded deaths. The weights therefore equal</w:t>
      </w:r>
      <w:r>
        <w:rPr>
          <w:lang w:val="en-GB"/>
        </w:rPr>
        <w:t xml:space="preserve"> </w:t>
      </w:r>
      <w:r w:rsidRPr="00924C77">
        <w:rPr>
          <w:lang w:val="en-GB"/>
        </w:rPr>
        <w:t xml:space="preserve">1.06 (1/0.946) for Barcelona and the Basque Country, and 1.25 (1/0.8) for Madrid. Data where the percentage of unlinked death was lower than 5% were not weighted.  </w:t>
      </w:r>
    </w:p>
    <w:p w:rsidR="00E60955" w:rsidRPr="00924C77" w:rsidRDefault="00E60955" w:rsidP="00A117E5">
      <w:pPr>
        <w:spacing w:line="480" w:lineRule="auto"/>
        <w:ind w:firstLine="284"/>
        <w:jc w:val="both"/>
        <w:rPr>
          <w:lang w:val="en-GB"/>
        </w:rPr>
      </w:pPr>
    </w:p>
    <w:p w:rsidR="00E60955" w:rsidRPr="00924C77" w:rsidRDefault="00E60955" w:rsidP="00A117E5">
      <w:pPr>
        <w:spacing w:line="480" w:lineRule="auto"/>
        <w:ind w:firstLine="284"/>
        <w:jc w:val="center"/>
        <w:rPr>
          <w:lang w:val="en-GB"/>
        </w:rPr>
      </w:pPr>
      <w:r w:rsidRPr="00924C77">
        <w:rPr>
          <w:lang w:val="en-GB"/>
        </w:rPr>
        <w:t>*** Table 1 here ***</w:t>
      </w:r>
    </w:p>
    <w:p w:rsidR="00460B37" w:rsidRDefault="00460B37" w:rsidP="00A117E5">
      <w:pPr>
        <w:spacing w:line="480" w:lineRule="auto"/>
        <w:jc w:val="both"/>
        <w:rPr>
          <w:i/>
          <w:lang w:val="en-GB"/>
        </w:rPr>
      </w:pPr>
    </w:p>
    <w:p w:rsidR="00E60955" w:rsidRPr="00924C77" w:rsidRDefault="00E60955" w:rsidP="00A117E5">
      <w:pPr>
        <w:spacing w:line="480" w:lineRule="auto"/>
        <w:jc w:val="both"/>
        <w:rPr>
          <w:i/>
          <w:lang w:val="en-GB"/>
        </w:rPr>
      </w:pPr>
      <w:r w:rsidRPr="00924C77">
        <w:rPr>
          <w:i/>
          <w:lang w:val="en-GB"/>
        </w:rPr>
        <w:lastRenderedPageBreak/>
        <w:t>Measures</w:t>
      </w:r>
    </w:p>
    <w:p w:rsidR="00E60955" w:rsidRPr="00924C77" w:rsidRDefault="00E60955" w:rsidP="00A117E5">
      <w:pPr>
        <w:spacing w:line="480" w:lineRule="auto"/>
        <w:jc w:val="both"/>
        <w:rPr>
          <w:lang w:val="en-GB"/>
        </w:rPr>
      </w:pPr>
      <w:r w:rsidRPr="00924C77">
        <w:rPr>
          <w:lang w:val="en-GB"/>
        </w:rPr>
        <w:t xml:space="preserve">The educational level declared at the census at the beginning of the follow-up was harmonized across countries according to the International Standard Classification of Education (ISCED) and split into three internationally comparable categories. These corresponded to less than secondary education (ISCED 0, 1, 2; ‘low’), secondary education (ISCED 3, 4; ‘middle’), and tertiary education (ISCED 5, 6; ‘high’). Individuals with missing information on their educational attainment were excluded from the analysis. In the datasets of Denmark, Lithuania and Finland, unknown education was classified together with no or only primary education, whereas in most of the other countries unknown education was coded separately. </w:t>
      </w:r>
    </w:p>
    <w:p w:rsidR="00E60955" w:rsidRPr="00924C77" w:rsidRDefault="00E60955" w:rsidP="00A117E5">
      <w:pPr>
        <w:spacing w:line="480" w:lineRule="auto"/>
        <w:jc w:val="both"/>
        <w:rPr>
          <w:b/>
          <w:highlight w:val="cyan"/>
          <w:lang w:val="en-GB"/>
        </w:rPr>
      </w:pPr>
    </w:p>
    <w:p w:rsidR="00E60955" w:rsidRPr="00924C77" w:rsidRDefault="00E60955" w:rsidP="00A117E5">
      <w:pPr>
        <w:spacing w:line="480" w:lineRule="auto"/>
        <w:jc w:val="both"/>
        <w:rPr>
          <w:i/>
          <w:lang w:val="en-GB"/>
        </w:rPr>
      </w:pPr>
      <w:r w:rsidRPr="00924C77">
        <w:rPr>
          <w:i/>
          <w:lang w:val="en-GB"/>
        </w:rPr>
        <w:t>Educational scenarios</w:t>
      </w:r>
    </w:p>
    <w:p w:rsidR="00E60955" w:rsidRPr="00924C77" w:rsidRDefault="00E60955" w:rsidP="00A117E5">
      <w:pPr>
        <w:spacing w:line="480" w:lineRule="auto"/>
        <w:jc w:val="both"/>
        <w:rPr>
          <w:lang w:val="en-GB"/>
        </w:rPr>
      </w:pPr>
      <w:r w:rsidRPr="00924C77">
        <w:rPr>
          <w:lang w:val="en-GB"/>
        </w:rPr>
        <w:t>On the basis of the literature and empirical evidence for rate of improvement in educational attainment, we developed a counterfactual scenario called ‘cohort replacement scenario’ by taking a time horizon of 10</w:t>
      </w:r>
      <w:r w:rsidR="00E3670E">
        <w:rPr>
          <w:lang w:val="en-GB"/>
        </w:rPr>
        <w:t>–</w:t>
      </w:r>
      <w:r w:rsidRPr="00924C77">
        <w:rPr>
          <w:lang w:val="en-GB"/>
        </w:rPr>
        <w:t>15 years and producing estimates based on the following replacement: The educational attainment of those currently aged 45</w:t>
      </w:r>
      <w:r w:rsidR="00E3670E">
        <w:rPr>
          <w:lang w:val="en-GB"/>
        </w:rPr>
        <w:t>–</w:t>
      </w:r>
      <w:r w:rsidRPr="00924C77">
        <w:rPr>
          <w:lang w:val="en-GB"/>
        </w:rPr>
        <w:t>59, 60</w:t>
      </w:r>
      <w:r w:rsidR="00E3670E">
        <w:rPr>
          <w:lang w:val="en-GB"/>
        </w:rPr>
        <w:t>–</w:t>
      </w:r>
      <w:r w:rsidRPr="00924C77">
        <w:rPr>
          <w:lang w:val="en-GB"/>
        </w:rPr>
        <w:t>69 and 70</w:t>
      </w:r>
      <w:r w:rsidR="00E3670E">
        <w:rPr>
          <w:lang w:val="en-GB"/>
        </w:rPr>
        <w:t>–</w:t>
      </w:r>
      <w:r w:rsidRPr="00924C77">
        <w:rPr>
          <w:lang w:val="en-GB"/>
        </w:rPr>
        <w:t>79 were replaced by the educational attainment of those currently aged 30</w:t>
      </w:r>
      <w:r w:rsidR="00E3670E">
        <w:rPr>
          <w:lang w:val="en-GB"/>
        </w:rPr>
        <w:t>–</w:t>
      </w:r>
      <w:r w:rsidRPr="00924C77">
        <w:rPr>
          <w:lang w:val="en-GB"/>
        </w:rPr>
        <w:t>44, 45</w:t>
      </w:r>
      <w:r w:rsidR="00E3670E">
        <w:rPr>
          <w:lang w:val="en-GB"/>
        </w:rPr>
        <w:t>–</w:t>
      </w:r>
      <w:r w:rsidRPr="00924C77">
        <w:rPr>
          <w:lang w:val="en-GB"/>
        </w:rPr>
        <w:t>59 and 60</w:t>
      </w:r>
      <w:r w:rsidR="00E3670E">
        <w:rPr>
          <w:lang w:val="en-GB"/>
        </w:rPr>
        <w:t>–</w:t>
      </w:r>
      <w:r w:rsidRPr="00924C77">
        <w:rPr>
          <w:lang w:val="en-GB"/>
        </w:rPr>
        <w:t>69, respectively. Those currently aged 30</w:t>
      </w:r>
      <w:r w:rsidR="00E3670E">
        <w:rPr>
          <w:lang w:val="en-GB"/>
        </w:rPr>
        <w:t>–</w:t>
      </w:r>
      <w:r w:rsidRPr="00924C77">
        <w:rPr>
          <w:lang w:val="en-GB"/>
        </w:rPr>
        <w:t>44 were in turn replaced by a new group aged 15</w:t>
      </w:r>
      <w:r w:rsidR="00E3670E">
        <w:rPr>
          <w:lang w:val="en-GB"/>
        </w:rPr>
        <w:t>–</w:t>
      </w:r>
      <w:r w:rsidRPr="00924C77">
        <w:rPr>
          <w:lang w:val="en-GB"/>
        </w:rPr>
        <w:t>29, whose educational attainment was unknown and was therefore estimated on the basis of past trends. We assume</w:t>
      </w:r>
      <w:r>
        <w:rPr>
          <w:lang w:val="en-GB"/>
        </w:rPr>
        <w:t xml:space="preserve">d that the incoming cohort aged </w:t>
      </w:r>
      <w:r w:rsidRPr="00924C77">
        <w:rPr>
          <w:lang w:val="en-GB"/>
        </w:rPr>
        <w:t>15</w:t>
      </w:r>
      <w:r w:rsidR="00E3670E">
        <w:rPr>
          <w:lang w:val="en-GB"/>
        </w:rPr>
        <w:t>–</w:t>
      </w:r>
      <w:r w:rsidRPr="00924C77">
        <w:rPr>
          <w:lang w:val="en-GB"/>
        </w:rPr>
        <w:t>29 achieved a level of educational attainment based on the trends observed in the improvement between those aged 30</w:t>
      </w:r>
      <w:r w:rsidR="00E3670E">
        <w:rPr>
          <w:lang w:val="en-GB"/>
        </w:rPr>
        <w:t>–</w:t>
      </w:r>
      <w:r w:rsidRPr="00924C77">
        <w:rPr>
          <w:lang w:val="en-GB"/>
        </w:rPr>
        <w:t>44 and 45</w:t>
      </w:r>
      <w:r w:rsidR="00E3670E">
        <w:rPr>
          <w:lang w:val="en-GB"/>
        </w:rPr>
        <w:t>–</w:t>
      </w:r>
      <w:r w:rsidRPr="00924C77">
        <w:rPr>
          <w:lang w:val="en-GB"/>
        </w:rPr>
        <w:t>59 years, and that the overall population in each age group remained constant.</w:t>
      </w:r>
      <w:r>
        <w:rPr>
          <w:lang w:val="en-GB"/>
        </w:rPr>
        <w:t xml:space="preserve"> In addition, we constrained this scenario in such a way that the percentage of incoming people with low education aged 30</w:t>
      </w:r>
      <w:r w:rsidR="00E3670E">
        <w:rPr>
          <w:lang w:val="en-GB"/>
        </w:rPr>
        <w:t>–</w:t>
      </w:r>
      <w:r>
        <w:rPr>
          <w:lang w:val="en-GB"/>
        </w:rPr>
        <w:t>44 could not fall below 0.5% of that age group.</w:t>
      </w:r>
      <w:r w:rsidRPr="00924C77">
        <w:rPr>
          <w:lang w:val="en-GB"/>
        </w:rPr>
        <w:t xml:space="preserve"> However, among men in several countries (Sweden, Netherlands, Tuscany, Hungary, Lithuania, Estonia), the </w:t>
      </w:r>
      <w:r w:rsidRPr="00924C77">
        <w:rPr>
          <w:lang w:val="en-GB"/>
        </w:rPr>
        <w:lastRenderedPageBreak/>
        <w:t>percentage with high education was lower for the 30</w:t>
      </w:r>
      <w:r w:rsidR="00E3670E">
        <w:rPr>
          <w:lang w:val="en-GB"/>
        </w:rPr>
        <w:t>–</w:t>
      </w:r>
      <w:r w:rsidRPr="00924C77">
        <w:rPr>
          <w:lang w:val="en-GB"/>
        </w:rPr>
        <w:t>44 age group than for the 45</w:t>
      </w:r>
      <w:r w:rsidR="00E3670E">
        <w:rPr>
          <w:lang w:val="en-GB"/>
        </w:rPr>
        <w:t>–</w:t>
      </w:r>
      <w:r w:rsidRPr="00924C77">
        <w:rPr>
          <w:lang w:val="en-GB"/>
        </w:rPr>
        <w:t xml:space="preserve">59 age group. This phenomenon </w:t>
      </w:r>
      <w:r>
        <w:rPr>
          <w:lang w:val="en-GB"/>
        </w:rPr>
        <w:t xml:space="preserve"> was opposite </w:t>
      </w:r>
      <w:r w:rsidRPr="00924C77">
        <w:rPr>
          <w:lang w:val="en-GB"/>
        </w:rPr>
        <w:t>to the general trend. As our aim was to estimate the impact of improvement in educational distribution on mortality, we made the percentage of high education for the incoming group aged 30</w:t>
      </w:r>
      <w:r w:rsidR="00E3670E">
        <w:rPr>
          <w:lang w:val="en-GB"/>
        </w:rPr>
        <w:t>–</w:t>
      </w:r>
      <w:r w:rsidRPr="00924C77">
        <w:rPr>
          <w:lang w:val="en-GB"/>
        </w:rPr>
        <w:t xml:space="preserve">44 equal to the highest percentage recorded for any other age group. The group with middle education was treated as a residual. Although we observed some differences between </w:t>
      </w:r>
      <w:r>
        <w:rPr>
          <w:lang w:val="en-GB"/>
        </w:rPr>
        <w:t xml:space="preserve">the </w:t>
      </w:r>
      <w:r w:rsidRPr="00924C77">
        <w:rPr>
          <w:lang w:val="en-GB"/>
        </w:rPr>
        <w:t>educational distribution in our mortality data and</w:t>
      </w:r>
      <w:r>
        <w:rPr>
          <w:lang w:val="en-GB"/>
        </w:rPr>
        <w:t xml:space="preserve"> the</w:t>
      </w:r>
      <w:r w:rsidRPr="00924C77">
        <w:rPr>
          <w:lang w:val="en-GB"/>
        </w:rPr>
        <w:t xml:space="preserve"> educational distribution registered in</w:t>
      </w:r>
      <w:r>
        <w:rPr>
          <w:lang w:val="en-GB"/>
        </w:rPr>
        <w:t xml:space="preserve"> the</w:t>
      </w:r>
      <w:r w:rsidRPr="00924C77">
        <w:rPr>
          <w:lang w:val="en-GB"/>
        </w:rPr>
        <w:t xml:space="preserve"> Eurostat </w:t>
      </w:r>
      <w:r>
        <w:rPr>
          <w:lang w:val="en-GB"/>
        </w:rPr>
        <w:t>Statistics D</w:t>
      </w:r>
      <w:r w:rsidRPr="00924C77">
        <w:rPr>
          <w:lang w:val="en-GB"/>
        </w:rPr>
        <w:t>atabase</w:t>
      </w:r>
      <w:r>
        <w:rPr>
          <w:lang w:val="en-GB"/>
        </w:rPr>
        <w:t xml:space="preserve"> </w:t>
      </w:r>
      <w:r>
        <w:rPr>
          <w:noProof/>
          <w:lang w:val="en-GB"/>
        </w:rPr>
        <w:t>(Eurostat)</w:t>
      </w:r>
      <w:r w:rsidRPr="00924C77">
        <w:rPr>
          <w:lang w:val="en-GB"/>
        </w:rPr>
        <w:t xml:space="preserve"> in few countries, we assume that these differences are partly attributable to a delayed registration of education.</w:t>
      </w:r>
    </w:p>
    <w:p w:rsidR="00E60955" w:rsidRPr="00924C77" w:rsidRDefault="00E60955" w:rsidP="00A117E5">
      <w:pPr>
        <w:spacing w:line="480" w:lineRule="auto"/>
        <w:ind w:firstLine="284"/>
        <w:jc w:val="both"/>
        <w:rPr>
          <w:lang w:val="en-GB"/>
        </w:rPr>
      </w:pPr>
      <w:r w:rsidRPr="00924C77">
        <w:rPr>
          <w:lang w:val="en-GB"/>
        </w:rPr>
        <w:t xml:space="preserve">Additionally, we compared the cohort replacement scenario </w:t>
      </w:r>
      <w:r>
        <w:rPr>
          <w:lang w:val="en-GB"/>
        </w:rPr>
        <w:t>to</w:t>
      </w:r>
      <w:r w:rsidRPr="00924C77">
        <w:rPr>
          <w:lang w:val="en-GB"/>
        </w:rPr>
        <w:t xml:space="preserve"> </w:t>
      </w:r>
      <w:r>
        <w:rPr>
          <w:lang w:val="en-GB"/>
        </w:rPr>
        <w:t>an</w:t>
      </w:r>
      <w:r w:rsidRPr="00924C77">
        <w:rPr>
          <w:lang w:val="en-GB"/>
        </w:rPr>
        <w:t xml:space="preserve"> upward levelling scenario, in which everyone has tertiary education. This </w:t>
      </w:r>
      <w:r>
        <w:rPr>
          <w:lang w:val="en-GB"/>
        </w:rPr>
        <w:t xml:space="preserve">theoretical </w:t>
      </w:r>
      <w:r w:rsidRPr="00924C77">
        <w:rPr>
          <w:lang w:val="en-GB"/>
        </w:rPr>
        <w:t xml:space="preserve">scenario implies that all people </w:t>
      </w:r>
      <w:r>
        <w:rPr>
          <w:lang w:val="en-GB"/>
        </w:rPr>
        <w:t xml:space="preserve">have obtained </w:t>
      </w:r>
      <w:r w:rsidRPr="00924C77">
        <w:rPr>
          <w:lang w:val="en-GB"/>
        </w:rPr>
        <w:t>the same</w:t>
      </w:r>
      <w:r>
        <w:rPr>
          <w:lang w:val="en-GB"/>
        </w:rPr>
        <w:t>, high level of</w:t>
      </w:r>
      <w:r w:rsidRPr="00924C77">
        <w:rPr>
          <w:lang w:val="en-GB"/>
        </w:rPr>
        <w:t xml:space="preserve"> education</w:t>
      </w:r>
      <w:r>
        <w:rPr>
          <w:lang w:val="en-GB"/>
        </w:rPr>
        <w:t>, and that educational inequalities in mortality have completely disappeared</w:t>
      </w:r>
      <w:r w:rsidRPr="00924C77">
        <w:rPr>
          <w:lang w:val="en-GB"/>
        </w:rPr>
        <w:t xml:space="preserve">. To compare the more realistic </w:t>
      </w:r>
      <w:r>
        <w:rPr>
          <w:lang w:val="en-GB"/>
        </w:rPr>
        <w:t xml:space="preserve">cohort replacement </w:t>
      </w:r>
      <w:r w:rsidRPr="00924C77">
        <w:rPr>
          <w:lang w:val="en-GB"/>
        </w:rPr>
        <w:t xml:space="preserve">scenario with the upward levelling scenario, we calculated what percentage of the upward levelling estimates was </w:t>
      </w:r>
      <w:r>
        <w:rPr>
          <w:lang w:val="en-GB"/>
        </w:rPr>
        <w:t xml:space="preserve">accounted for by </w:t>
      </w:r>
      <w:r w:rsidRPr="00924C77">
        <w:rPr>
          <w:lang w:val="en-GB"/>
        </w:rPr>
        <w:t xml:space="preserve">the cohort replacement scenario. </w:t>
      </w:r>
    </w:p>
    <w:p w:rsidR="00E60955" w:rsidRPr="00924C77" w:rsidRDefault="00E60955" w:rsidP="00A117E5">
      <w:pPr>
        <w:spacing w:line="480" w:lineRule="auto"/>
        <w:ind w:firstLine="284"/>
        <w:jc w:val="both"/>
        <w:rPr>
          <w:lang w:val="en-GB"/>
        </w:rPr>
      </w:pPr>
      <w:r w:rsidRPr="00924C77">
        <w:rPr>
          <w:lang w:val="en-GB"/>
        </w:rPr>
        <w:t xml:space="preserve">As a sensitivity analysis, we developed a </w:t>
      </w:r>
      <w:r>
        <w:rPr>
          <w:lang w:val="en-GB"/>
        </w:rPr>
        <w:t xml:space="preserve">variation </w:t>
      </w:r>
      <w:r w:rsidRPr="00924C77">
        <w:rPr>
          <w:lang w:val="en-GB"/>
        </w:rPr>
        <w:t xml:space="preserve">to the cohort replacement scenario. The sensitivity scenario was based on OECD annual growth rates </w:t>
      </w:r>
      <w:r w:rsidRPr="00924C77">
        <w:rPr>
          <w:noProof/>
          <w:lang w:val="en-GB"/>
        </w:rPr>
        <w:t>(OECD, 2010)</w:t>
      </w:r>
      <w:r>
        <w:rPr>
          <w:lang w:val="en-GB"/>
        </w:rPr>
        <w:t xml:space="preserve"> in which the future changes in the numbers of people in each education group, by age, were assumed to be the same as in the recent past. The future numbers in the</w:t>
      </w:r>
      <w:r w:rsidRPr="00924C77">
        <w:rPr>
          <w:lang w:val="en-GB"/>
        </w:rPr>
        <w:t xml:space="preserve"> incoming group of high and low educated people aged 15</w:t>
      </w:r>
      <w:r w:rsidR="00B2647E">
        <w:rPr>
          <w:lang w:val="en-GB"/>
        </w:rPr>
        <w:t>–</w:t>
      </w:r>
      <w:r w:rsidRPr="00924C77">
        <w:rPr>
          <w:lang w:val="en-GB"/>
        </w:rPr>
        <w:t>29 years was constructed using a 15-year index value of OECD annual growth rate specific for each country investigated. The group with middle education was treated as a residual. The results of this scenario can be found in the</w:t>
      </w:r>
      <w:r w:rsidR="00B2647E">
        <w:rPr>
          <w:lang w:val="en-GB"/>
        </w:rPr>
        <w:t xml:space="preserve"> electronic</w:t>
      </w:r>
      <w:r w:rsidRPr="00924C77">
        <w:rPr>
          <w:lang w:val="en-GB"/>
        </w:rPr>
        <w:t xml:space="preserve"> supplementary material (Tables </w:t>
      </w:r>
      <w:r w:rsidR="0006738E">
        <w:rPr>
          <w:lang w:val="en-GB"/>
        </w:rPr>
        <w:t>S</w:t>
      </w:r>
      <w:r w:rsidRPr="00924C77">
        <w:rPr>
          <w:lang w:val="en-GB"/>
        </w:rPr>
        <w:t xml:space="preserve">1 and </w:t>
      </w:r>
      <w:r w:rsidR="0006738E">
        <w:rPr>
          <w:lang w:val="en-GB"/>
        </w:rPr>
        <w:t>S</w:t>
      </w:r>
      <w:r w:rsidRPr="00924C77">
        <w:rPr>
          <w:lang w:val="en-GB"/>
        </w:rPr>
        <w:t>2</w:t>
      </w:r>
      <w:r w:rsidR="0006738E">
        <w:rPr>
          <w:lang w:val="en-GB"/>
        </w:rPr>
        <w:t xml:space="preserve"> in the electronic supplementary material</w:t>
      </w:r>
      <w:r w:rsidRPr="00924C77">
        <w:rPr>
          <w:lang w:val="en-GB"/>
        </w:rPr>
        <w:t xml:space="preserve">).  </w:t>
      </w:r>
    </w:p>
    <w:p w:rsidR="00E60955" w:rsidRDefault="00E60955" w:rsidP="00A117E5">
      <w:pPr>
        <w:spacing w:line="480" w:lineRule="auto"/>
        <w:jc w:val="both"/>
        <w:rPr>
          <w:lang w:val="en-GB"/>
        </w:rPr>
      </w:pPr>
    </w:p>
    <w:p w:rsidR="00E60955" w:rsidRDefault="00E60955" w:rsidP="00A117E5">
      <w:pPr>
        <w:spacing w:line="480" w:lineRule="auto"/>
        <w:jc w:val="both"/>
        <w:rPr>
          <w:i/>
          <w:lang w:val="en-GB"/>
        </w:rPr>
      </w:pPr>
    </w:p>
    <w:p w:rsidR="00E60955" w:rsidRPr="00924C77" w:rsidRDefault="00E60955" w:rsidP="00A117E5">
      <w:pPr>
        <w:spacing w:line="480" w:lineRule="auto"/>
        <w:jc w:val="both"/>
        <w:rPr>
          <w:i/>
          <w:lang w:val="en-GB"/>
        </w:rPr>
      </w:pPr>
      <w:r w:rsidRPr="00924C77">
        <w:rPr>
          <w:i/>
          <w:lang w:val="en-GB"/>
        </w:rPr>
        <w:lastRenderedPageBreak/>
        <w:t>Data analysis</w:t>
      </w:r>
    </w:p>
    <w:p w:rsidR="00E60955" w:rsidRPr="00924C77" w:rsidRDefault="00E60955" w:rsidP="00A117E5">
      <w:pPr>
        <w:spacing w:line="480" w:lineRule="auto"/>
        <w:jc w:val="both"/>
        <w:rPr>
          <w:lang w:val="en-GB"/>
        </w:rPr>
      </w:pPr>
      <w:r w:rsidRPr="00924C77">
        <w:rPr>
          <w:lang w:val="en-GB"/>
        </w:rPr>
        <w:t>All analyses were conducted separately for men and women aged 30</w:t>
      </w:r>
      <w:r w:rsidR="00CC3E74">
        <w:rPr>
          <w:lang w:val="en-GB"/>
        </w:rPr>
        <w:t>–</w:t>
      </w:r>
      <w:r w:rsidRPr="00924C77">
        <w:rPr>
          <w:lang w:val="en-GB"/>
        </w:rPr>
        <w:t xml:space="preserve">79 years and </w:t>
      </w:r>
      <w:r>
        <w:rPr>
          <w:lang w:val="en-GB"/>
        </w:rPr>
        <w:t>used</w:t>
      </w:r>
      <w:r w:rsidRPr="00924C77">
        <w:rPr>
          <w:lang w:val="en-GB"/>
        </w:rPr>
        <w:t xml:space="preserve"> the </w:t>
      </w:r>
      <w:r>
        <w:rPr>
          <w:lang w:val="en-GB"/>
        </w:rPr>
        <w:t xml:space="preserve">method of the </w:t>
      </w:r>
      <w:r w:rsidRPr="00924C77">
        <w:rPr>
          <w:lang w:val="en-GB"/>
        </w:rPr>
        <w:t>population attributable fraction (PAF)</w:t>
      </w:r>
      <w:r>
        <w:rPr>
          <w:lang w:val="en-GB"/>
        </w:rPr>
        <w:t xml:space="preserve"> </w:t>
      </w:r>
      <w:r>
        <w:rPr>
          <w:noProof/>
          <w:lang w:val="en-GB"/>
        </w:rPr>
        <w:t>(Murray, Ezzati, Lopez, Rodgers, &amp; Vander Hoorn, 2003)</w:t>
      </w:r>
      <w:r w:rsidRPr="00924C77">
        <w:rPr>
          <w:lang w:val="en-GB"/>
        </w:rPr>
        <w:t xml:space="preserve">. </w:t>
      </w:r>
      <w:r>
        <w:rPr>
          <w:lang w:val="en-GB"/>
        </w:rPr>
        <w:t>The major assumption we had to make in order to use the PAF methodology was that the observed association between education and mortality reflects a causal effect. Generally speaking, t</w:t>
      </w:r>
      <w:r w:rsidRPr="00924C77">
        <w:rPr>
          <w:lang w:val="en-GB"/>
        </w:rPr>
        <w:t xml:space="preserve">he PAF estimates </w:t>
      </w:r>
      <w:r>
        <w:rPr>
          <w:lang w:val="en-GB"/>
        </w:rPr>
        <w:t xml:space="preserve">the proportion of disease cases </w:t>
      </w:r>
      <w:r w:rsidRPr="00924C77">
        <w:rPr>
          <w:lang w:val="en-GB"/>
        </w:rPr>
        <w:t>that could be prevented by eliminating the exposure</w:t>
      </w:r>
      <w:r>
        <w:rPr>
          <w:lang w:val="en-GB"/>
        </w:rPr>
        <w:t xml:space="preserve"> to a risk factor in the population</w:t>
      </w:r>
      <w:r w:rsidRPr="00924C77">
        <w:rPr>
          <w:lang w:val="en-GB"/>
        </w:rPr>
        <w:t xml:space="preserve"> </w:t>
      </w:r>
      <w:r w:rsidRPr="00924C77">
        <w:rPr>
          <w:noProof/>
          <w:lang w:val="en-GB"/>
        </w:rPr>
        <w:t>(Darrow &amp; Steenland, 2011)</w:t>
      </w:r>
      <w:r w:rsidRPr="00924C77">
        <w:rPr>
          <w:lang w:val="en-GB"/>
        </w:rPr>
        <w:t xml:space="preserve">. </w:t>
      </w:r>
      <w:r>
        <w:rPr>
          <w:lang w:val="en-GB"/>
        </w:rPr>
        <w:t xml:space="preserve">In our case, </w:t>
      </w:r>
      <w:r w:rsidRPr="00924C77">
        <w:rPr>
          <w:lang w:val="en-GB"/>
        </w:rPr>
        <w:t xml:space="preserve">we </w:t>
      </w:r>
      <w:r>
        <w:rPr>
          <w:lang w:val="en-GB"/>
        </w:rPr>
        <w:t xml:space="preserve">used the PAF to </w:t>
      </w:r>
      <w:r w:rsidRPr="00924C77">
        <w:rPr>
          <w:lang w:val="en-GB"/>
        </w:rPr>
        <w:t>estimate the proportion of mortality that would be reduced if education were improved in the population</w:t>
      </w:r>
      <w:r>
        <w:rPr>
          <w:lang w:val="en-GB"/>
        </w:rPr>
        <w:t xml:space="preserve"> (Formula 1):</w:t>
      </w:r>
      <w:r w:rsidRPr="00924C77">
        <w:rPr>
          <w:lang w:val="en-GB"/>
        </w:rPr>
        <w:t xml:space="preserve"> </w:t>
      </w:r>
    </w:p>
    <w:p w:rsidR="00E60955" w:rsidRPr="00924C77" w:rsidRDefault="00E60955" w:rsidP="00A117E5">
      <w:pPr>
        <w:spacing w:line="480" w:lineRule="auto"/>
        <w:jc w:val="both"/>
        <w:rPr>
          <w:lang w:val="en-GB"/>
        </w:rPr>
      </w:pPr>
      <w:r w:rsidRPr="00924C77">
        <w:rPr>
          <w:position w:val="-60"/>
          <w:lang w:val="en-GB"/>
        </w:rPr>
        <w:object w:dxaOrig="2799" w:dyaOrig="1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0.15pt;height:65.8pt" o:ole="">
            <v:imagedata r:id="rId11" o:title=""/>
          </v:shape>
          <o:OLEObject Type="Embed" ProgID="Equation.3" ShapeID="_x0000_i1025" DrawAspect="Content" ObjectID="_1473673541" r:id="rId12"/>
        </w:object>
      </w:r>
      <w:r w:rsidRPr="00924C77">
        <w:rPr>
          <w:lang w:val="en-GB"/>
        </w:rPr>
        <w:tab/>
      </w:r>
      <w:r w:rsidRPr="00924C77">
        <w:rPr>
          <w:lang w:val="en-GB"/>
        </w:rPr>
        <w:tab/>
        <w:t>(1),</w:t>
      </w:r>
    </w:p>
    <w:p w:rsidR="00E60955" w:rsidRPr="00924C77" w:rsidRDefault="00E60955" w:rsidP="00A117E5">
      <w:pPr>
        <w:spacing w:line="480" w:lineRule="auto"/>
        <w:jc w:val="both"/>
        <w:rPr>
          <w:lang w:val="en-GB"/>
        </w:rPr>
      </w:pPr>
      <w:r w:rsidRPr="00924C77">
        <w:rPr>
          <w:lang w:val="en-GB"/>
        </w:rPr>
        <w:t xml:space="preserve">where </w:t>
      </w:r>
      <w:r w:rsidRPr="00924C77">
        <w:rPr>
          <w:i/>
          <w:lang w:val="en-GB"/>
        </w:rPr>
        <w:t>n</w:t>
      </w:r>
      <w:r w:rsidRPr="00924C77">
        <w:rPr>
          <w:lang w:val="en-GB"/>
        </w:rPr>
        <w:t xml:space="preserve"> is a number of exposure categories (educational categories), </w:t>
      </w:r>
      <w:r w:rsidRPr="00924C77">
        <w:rPr>
          <w:i/>
          <w:lang w:val="en-GB"/>
        </w:rPr>
        <w:t>P</w:t>
      </w:r>
      <w:r w:rsidRPr="00924C77">
        <w:rPr>
          <w:i/>
          <w:vertAlign w:val="subscript"/>
          <w:lang w:val="en-GB"/>
        </w:rPr>
        <w:t>i</w:t>
      </w:r>
      <w:r w:rsidRPr="00924C77">
        <w:rPr>
          <w:i/>
          <w:lang w:val="en-GB"/>
        </w:rPr>
        <w:t xml:space="preserve"> </w:t>
      </w:r>
      <w:r w:rsidRPr="00924C77">
        <w:rPr>
          <w:lang w:val="en-GB"/>
        </w:rPr>
        <w:t>is the proportion of population currently in the i</w:t>
      </w:r>
      <w:r w:rsidRPr="00924C77">
        <w:rPr>
          <w:vertAlign w:val="superscript"/>
          <w:lang w:val="en-GB"/>
        </w:rPr>
        <w:t>th</w:t>
      </w:r>
      <w:r w:rsidRPr="00924C77">
        <w:rPr>
          <w:lang w:val="en-GB"/>
        </w:rPr>
        <w:t xml:space="preserve"> exposure category, </w:t>
      </w:r>
      <w:r w:rsidRPr="00924C77">
        <w:rPr>
          <w:i/>
          <w:lang w:val="en-GB"/>
        </w:rPr>
        <w:t>P’</w:t>
      </w:r>
      <w:r w:rsidRPr="00924C77">
        <w:rPr>
          <w:i/>
          <w:vertAlign w:val="subscript"/>
          <w:lang w:val="en-GB"/>
        </w:rPr>
        <w:t>i</w:t>
      </w:r>
      <w:r w:rsidRPr="00924C77">
        <w:rPr>
          <w:i/>
          <w:lang w:val="en-GB"/>
        </w:rPr>
        <w:t xml:space="preserve"> </w:t>
      </w:r>
      <w:r w:rsidRPr="00924C77">
        <w:rPr>
          <w:lang w:val="en-GB"/>
        </w:rPr>
        <w:t>is the proportion of population in the i</w:t>
      </w:r>
      <w:r w:rsidRPr="00924C77">
        <w:rPr>
          <w:vertAlign w:val="superscript"/>
          <w:lang w:val="en-GB"/>
        </w:rPr>
        <w:t>th</w:t>
      </w:r>
      <w:r w:rsidRPr="00924C77">
        <w:rPr>
          <w:lang w:val="en-GB"/>
        </w:rPr>
        <w:t xml:space="preserve"> exposure category in the counterfactual scenario and </w:t>
      </w:r>
      <w:r w:rsidRPr="00924C77">
        <w:rPr>
          <w:i/>
          <w:lang w:val="en-GB"/>
        </w:rPr>
        <w:t>RR</w:t>
      </w:r>
      <w:r w:rsidRPr="00924C77">
        <w:rPr>
          <w:i/>
          <w:vertAlign w:val="subscript"/>
          <w:lang w:val="en-GB"/>
        </w:rPr>
        <w:t>i</w:t>
      </w:r>
      <w:r w:rsidRPr="00924C77">
        <w:rPr>
          <w:lang w:val="en-GB"/>
        </w:rPr>
        <w:t xml:space="preserve"> is the relative risk of mortality for the i</w:t>
      </w:r>
      <w:r w:rsidRPr="00924C77">
        <w:rPr>
          <w:vertAlign w:val="superscript"/>
          <w:lang w:val="en-GB"/>
        </w:rPr>
        <w:t>th</w:t>
      </w:r>
      <w:r w:rsidRPr="00924C77">
        <w:rPr>
          <w:lang w:val="en-GB"/>
        </w:rPr>
        <w:t xml:space="preserve"> exposure category. </w:t>
      </w:r>
    </w:p>
    <w:p w:rsidR="00E60955" w:rsidRPr="00924C77" w:rsidRDefault="00E60955" w:rsidP="00A117E5">
      <w:pPr>
        <w:spacing w:line="480" w:lineRule="auto"/>
        <w:ind w:firstLine="284"/>
        <w:jc w:val="both"/>
        <w:rPr>
          <w:lang w:val="en-GB"/>
        </w:rPr>
      </w:pPr>
      <w:r w:rsidRPr="00924C77">
        <w:rPr>
          <w:lang w:val="en-GB"/>
        </w:rPr>
        <w:t>The data needed for the PAF calculations are the current country-specific distribution of educational attainment (P</w:t>
      </w:r>
      <w:r w:rsidRPr="00924C77">
        <w:rPr>
          <w:vertAlign w:val="subscript"/>
          <w:lang w:val="en-GB"/>
        </w:rPr>
        <w:t>i</w:t>
      </w:r>
      <w:r w:rsidRPr="00924C77">
        <w:rPr>
          <w:lang w:val="en-GB"/>
        </w:rPr>
        <w:t>), the scenario country-specific distribution of educational attainment (P’</w:t>
      </w:r>
      <w:r w:rsidRPr="00924C77">
        <w:rPr>
          <w:vertAlign w:val="subscript"/>
          <w:lang w:val="en-GB"/>
        </w:rPr>
        <w:t>i</w:t>
      </w:r>
      <w:r w:rsidRPr="00924C77">
        <w:rPr>
          <w:lang w:val="en-GB"/>
        </w:rPr>
        <w:t>) and the country-specific mortality rate ratios (RR</w:t>
      </w:r>
      <w:r w:rsidRPr="00924C77">
        <w:rPr>
          <w:vertAlign w:val="subscript"/>
          <w:lang w:val="en-GB"/>
        </w:rPr>
        <w:t>i</w:t>
      </w:r>
      <w:r w:rsidRPr="00924C77">
        <w:rPr>
          <w:lang w:val="en-GB"/>
        </w:rPr>
        <w:t>) for the three educational categories. The mortality rate ratios were calculated from the country-specific age-standardized mortality rates. The educational distribution and mortality rate ratios were calculated separately for men and women and for each age group (30</w:t>
      </w:r>
      <w:r w:rsidR="00CC3E74">
        <w:rPr>
          <w:lang w:val="en-GB"/>
        </w:rPr>
        <w:t>–</w:t>
      </w:r>
      <w:r w:rsidRPr="00924C77">
        <w:rPr>
          <w:lang w:val="en-GB"/>
        </w:rPr>
        <w:t>44, 45</w:t>
      </w:r>
      <w:r w:rsidR="00CC3E74">
        <w:rPr>
          <w:lang w:val="en-GB"/>
        </w:rPr>
        <w:t>–</w:t>
      </w:r>
      <w:r w:rsidRPr="00924C77">
        <w:rPr>
          <w:lang w:val="en-GB"/>
        </w:rPr>
        <w:t>59, 60</w:t>
      </w:r>
      <w:r w:rsidR="00CC3E74">
        <w:rPr>
          <w:lang w:val="en-GB"/>
        </w:rPr>
        <w:t>–</w:t>
      </w:r>
      <w:r w:rsidRPr="00924C77">
        <w:rPr>
          <w:lang w:val="en-GB"/>
        </w:rPr>
        <w:t>69 and 70</w:t>
      </w:r>
      <w:r w:rsidR="00CC3E74">
        <w:rPr>
          <w:lang w:val="en-GB"/>
        </w:rPr>
        <w:t>–</w:t>
      </w:r>
      <w:r w:rsidRPr="00924C77">
        <w:rPr>
          <w:lang w:val="en-GB"/>
        </w:rPr>
        <w:t xml:space="preserve">79) from our data for each European population. Due to the different study designs and follow-up times, specific correction factors were used to obtain comparable average age at death </w:t>
      </w:r>
      <w:r w:rsidRPr="00924C77">
        <w:rPr>
          <w:noProof/>
          <w:lang w:val="en-GB"/>
        </w:rPr>
        <w:t>(Östergren, Menvielle, &amp; Lundberg, 2011)</w:t>
      </w:r>
      <w:r w:rsidRPr="00924C77">
        <w:rPr>
          <w:lang w:val="en-GB"/>
        </w:rPr>
        <w:t xml:space="preserve">. </w:t>
      </w:r>
    </w:p>
    <w:p w:rsidR="00E60955" w:rsidRPr="00924C77" w:rsidRDefault="00E60955" w:rsidP="00A117E5">
      <w:pPr>
        <w:spacing w:line="480" w:lineRule="auto"/>
        <w:ind w:firstLine="284"/>
        <w:jc w:val="both"/>
        <w:rPr>
          <w:lang w:val="en-GB"/>
        </w:rPr>
      </w:pPr>
      <w:r w:rsidRPr="00924C77">
        <w:rPr>
          <w:lang w:val="en-GB"/>
        </w:rPr>
        <w:lastRenderedPageBreak/>
        <w:t>We first calculated age-specific PAF</w:t>
      </w:r>
      <w:r>
        <w:rPr>
          <w:lang w:val="en-GB"/>
        </w:rPr>
        <w:t>s</w:t>
      </w:r>
      <w:r w:rsidRPr="00924C77">
        <w:rPr>
          <w:lang w:val="en-GB"/>
        </w:rPr>
        <w:t xml:space="preserve"> in order to estimate new mortality rates and the number of saved deaths per 100,000 person-years in each age group. Afterwards we summed up the age-specific saved deaths per 100,000 person-years for the ages 30</w:t>
      </w:r>
      <w:r w:rsidR="00836F91">
        <w:rPr>
          <w:lang w:val="en-GB"/>
        </w:rPr>
        <w:t>–</w:t>
      </w:r>
      <w:r w:rsidRPr="00924C77">
        <w:rPr>
          <w:lang w:val="en-GB"/>
        </w:rPr>
        <w:t xml:space="preserve">79 years and calculated the overall PAF. The background information for </w:t>
      </w:r>
      <w:r>
        <w:rPr>
          <w:lang w:val="en-GB"/>
        </w:rPr>
        <w:t xml:space="preserve">the </w:t>
      </w:r>
      <w:r w:rsidRPr="00924C77">
        <w:rPr>
          <w:lang w:val="en-GB"/>
        </w:rPr>
        <w:t xml:space="preserve">PAF calculations – the current population educational distribution, the mortality rate ratios and the counterfactual population educational distribution </w:t>
      </w:r>
      <w:r>
        <w:rPr>
          <w:lang w:val="en-GB"/>
        </w:rPr>
        <w:t xml:space="preserve">– can </w:t>
      </w:r>
      <w:r w:rsidRPr="00924C77">
        <w:rPr>
          <w:lang w:val="en-GB"/>
        </w:rPr>
        <w:t xml:space="preserve">be found in </w:t>
      </w:r>
      <w:r w:rsidR="00836F91">
        <w:rPr>
          <w:lang w:val="en-GB"/>
        </w:rPr>
        <w:t xml:space="preserve">the electronic </w:t>
      </w:r>
      <w:r w:rsidRPr="00924C77">
        <w:rPr>
          <w:lang w:val="en-GB"/>
        </w:rPr>
        <w:t xml:space="preserve">supplementary material (Tables </w:t>
      </w:r>
      <w:r w:rsidR="0006738E">
        <w:rPr>
          <w:lang w:val="en-GB"/>
        </w:rPr>
        <w:t>S</w:t>
      </w:r>
      <w:r w:rsidRPr="00924C77">
        <w:rPr>
          <w:lang w:val="en-GB"/>
        </w:rPr>
        <w:t xml:space="preserve">3 and </w:t>
      </w:r>
      <w:r w:rsidR="0006738E">
        <w:rPr>
          <w:lang w:val="en-GB"/>
        </w:rPr>
        <w:t>S</w:t>
      </w:r>
      <w:r w:rsidRPr="00924C77">
        <w:rPr>
          <w:lang w:val="en-GB"/>
        </w:rPr>
        <w:t>4</w:t>
      </w:r>
      <w:r w:rsidR="0006738E">
        <w:rPr>
          <w:lang w:val="en-GB"/>
        </w:rPr>
        <w:t xml:space="preserve"> in the electronic supplementary material</w:t>
      </w:r>
      <w:r w:rsidRPr="00924C77">
        <w:rPr>
          <w:lang w:val="en-GB"/>
        </w:rPr>
        <w:t xml:space="preserve">). </w:t>
      </w:r>
    </w:p>
    <w:p w:rsidR="00E60955" w:rsidRPr="00924C77" w:rsidRDefault="00E60955" w:rsidP="00A117E5">
      <w:pPr>
        <w:spacing w:line="480" w:lineRule="auto"/>
        <w:ind w:firstLine="284"/>
        <w:jc w:val="both"/>
        <w:rPr>
          <w:lang w:val="en-GB"/>
        </w:rPr>
      </w:pPr>
      <w:r w:rsidRPr="00924C77">
        <w:rPr>
          <w:lang w:val="en-GB"/>
        </w:rPr>
        <w:t xml:space="preserve">The confidence intervals for the impact of </w:t>
      </w:r>
      <w:r>
        <w:rPr>
          <w:lang w:val="en-GB"/>
        </w:rPr>
        <w:t xml:space="preserve">the </w:t>
      </w:r>
      <w:r w:rsidRPr="00924C77">
        <w:rPr>
          <w:lang w:val="en-GB"/>
        </w:rPr>
        <w:t xml:space="preserve">population educational redistribution on mortality measured by PAF were computed by bootstrapping methods using R. The bootstrapping methods are resampling techniques for assessing uncertainty </w:t>
      </w:r>
      <w:r w:rsidRPr="00924C77">
        <w:rPr>
          <w:noProof/>
          <w:lang w:val="en-GB"/>
        </w:rPr>
        <w:t>(Efron &amp; Tibshirani, 1993)</w:t>
      </w:r>
      <w:r w:rsidRPr="00924C77">
        <w:rPr>
          <w:lang w:val="en-GB"/>
        </w:rPr>
        <w:t>. The input data needed for bootstrapping were country-specific number</w:t>
      </w:r>
      <w:r>
        <w:rPr>
          <w:lang w:val="en-GB"/>
        </w:rPr>
        <w:t>s</w:t>
      </w:r>
      <w:r w:rsidRPr="00924C77">
        <w:rPr>
          <w:lang w:val="en-GB"/>
        </w:rPr>
        <w:t xml:space="preserve"> of deaths and person-years in each age group and educational category. The confidence intervals obtained by bootstrapping were then </w:t>
      </w:r>
      <w:r>
        <w:rPr>
          <w:lang w:val="en-GB"/>
        </w:rPr>
        <w:t xml:space="preserve">further </w:t>
      </w:r>
      <w:r w:rsidRPr="00924C77">
        <w:rPr>
          <w:lang w:val="en-GB"/>
        </w:rPr>
        <w:t xml:space="preserve">used for calculation of confidence intervals around the saved deaths per 100,000 person-years.   </w:t>
      </w:r>
    </w:p>
    <w:p w:rsidR="00E60955" w:rsidRPr="00924C77" w:rsidRDefault="00E60955" w:rsidP="00A117E5">
      <w:pPr>
        <w:spacing w:line="480" w:lineRule="auto"/>
        <w:jc w:val="both"/>
        <w:rPr>
          <w:lang w:val="en-GB"/>
        </w:rPr>
      </w:pPr>
    </w:p>
    <w:p w:rsidR="00E60955" w:rsidRDefault="00E60955" w:rsidP="00A117E5">
      <w:pPr>
        <w:spacing w:line="480" w:lineRule="auto"/>
        <w:jc w:val="both"/>
        <w:rPr>
          <w:b/>
          <w:lang w:val="en-GB"/>
        </w:rPr>
        <w:sectPr w:rsidR="00E60955" w:rsidSect="00A117E5">
          <w:pgSz w:w="11906" w:h="16838"/>
          <w:pgMar w:top="1418" w:right="1418" w:bottom="1418" w:left="1418" w:header="709" w:footer="709" w:gutter="0"/>
          <w:cols w:space="708"/>
          <w:docGrid w:linePitch="360"/>
        </w:sectPr>
      </w:pPr>
    </w:p>
    <w:p w:rsidR="00E60955" w:rsidRPr="00924C77" w:rsidRDefault="00E60955" w:rsidP="00A117E5">
      <w:pPr>
        <w:spacing w:line="480" w:lineRule="auto"/>
        <w:jc w:val="both"/>
        <w:rPr>
          <w:b/>
          <w:lang w:val="en-GB"/>
        </w:rPr>
      </w:pPr>
      <w:r w:rsidRPr="00924C77">
        <w:rPr>
          <w:b/>
          <w:lang w:val="en-GB"/>
        </w:rPr>
        <w:lastRenderedPageBreak/>
        <w:t>Results</w:t>
      </w:r>
      <w:bookmarkStart w:id="0" w:name="_GoBack"/>
      <w:bookmarkEnd w:id="0"/>
    </w:p>
    <w:p w:rsidR="00E60955" w:rsidRDefault="00E60955" w:rsidP="00A117E5">
      <w:pPr>
        <w:spacing w:line="480" w:lineRule="auto"/>
        <w:jc w:val="both"/>
        <w:rPr>
          <w:lang w:val="en-GB"/>
        </w:rPr>
      </w:pPr>
      <w:r w:rsidRPr="00924C77">
        <w:rPr>
          <w:lang w:val="en-GB"/>
        </w:rPr>
        <w:t>The impact</w:t>
      </w:r>
      <w:r>
        <w:rPr>
          <w:lang w:val="en-GB"/>
        </w:rPr>
        <w:t>s</w:t>
      </w:r>
      <w:r w:rsidRPr="00924C77">
        <w:rPr>
          <w:lang w:val="en-GB"/>
        </w:rPr>
        <w:t xml:space="preserve"> of the cohort replacement and the upward levelling scenario are presented in Table 2 (</w:t>
      </w:r>
      <w:r>
        <w:rPr>
          <w:lang w:val="en-GB"/>
        </w:rPr>
        <w:t>proportional reduction of mortality, expressed as a percentage</w:t>
      </w:r>
      <w:r w:rsidRPr="00924C77">
        <w:rPr>
          <w:lang w:val="en-GB"/>
        </w:rPr>
        <w:t>) and Table 3 (</w:t>
      </w:r>
      <w:r>
        <w:rPr>
          <w:lang w:val="en-GB"/>
        </w:rPr>
        <w:t xml:space="preserve">absolute reduction of mortality, expressed as </w:t>
      </w:r>
      <w:r w:rsidRPr="00924C77">
        <w:rPr>
          <w:lang w:val="en-GB"/>
        </w:rPr>
        <w:t>saved deaths per 100,000 person-years). The results are shown for men and women aged 30</w:t>
      </w:r>
      <w:r w:rsidR="00035767">
        <w:rPr>
          <w:lang w:val="en-GB"/>
        </w:rPr>
        <w:t>–</w:t>
      </w:r>
      <w:r w:rsidRPr="00924C77">
        <w:rPr>
          <w:lang w:val="en-GB"/>
        </w:rPr>
        <w:t xml:space="preserve">79 years by country. In </w:t>
      </w:r>
      <w:r>
        <w:rPr>
          <w:lang w:val="en-GB"/>
        </w:rPr>
        <w:t xml:space="preserve">this set of </w:t>
      </w:r>
      <w:r w:rsidRPr="00924C77">
        <w:rPr>
          <w:lang w:val="en-GB"/>
        </w:rPr>
        <w:t>Europ</w:t>
      </w:r>
      <w:r>
        <w:rPr>
          <w:lang w:val="en-GB"/>
        </w:rPr>
        <w:t>ean  populations</w:t>
      </w:r>
      <w:r w:rsidRPr="00924C77">
        <w:rPr>
          <w:lang w:val="en-GB"/>
        </w:rPr>
        <w:t>, the</w:t>
      </w:r>
      <w:r>
        <w:rPr>
          <w:lang w:val="en-GB"/>
        </w:rPr>
        <w:t xml:space="preserve"> proportional reduction of mortality in the cohort replacement scenario</w:t>
      </w:r>
      <w:r w:rsidRPr="00924C77">
        <w:rPr>
          <w:lang w:val="en-GB"/>
        </w:rPr>
        <w:t xml:space="preserve"> ranged from 1.</w:t>
      </w:r>
      <w:r>
        <w:rPr>
          <w:lang w:val="en-GB"/>
        </w:rPr>
        <w:t>9</w:t>
      </w:r>
      <w:r w:rsidR="00035767">
        <w:rPr>
          <w:lang w:val="en-GB"/>
        </w:rPr>
        <w:t xml:space="preserve"> to</w:t>
      </w:r>
      <w:r w:rsidR="00D90C41">
        <w:rPr>
          <w:lang w:val="en-GB"/>
        </w:rPr>
        <w:t xml:space="preserve"> </w:t>
      </w:r>
      <w:r w:rsidRPr="00924C77">
        <w:rPr>
          <w:lang w:val="en-GB"/>
        </w:rPr>
        <w:t xml:space="preserve">10.1% among men and </w:t>
      </w:r>
      <w:r w:rsidR="00D90C41">
        <w:rPr>
          <w:lang w:val="en-GB"/>
        </w:rPr>
        <w:t xml:space="preserve">from </w:t>
      </w:r>
      <w:r w:rsidRPr="00924C77">
        <w:rPr>
          <w:lang w:val="en-GB"/>
        </w:rPr>
        <w:t>1.7</w:t>
      </w:r>
      <w:r w:rsidR="00035767">
        <w:rPr>
          <w:lang w:val="en-GB"/>
        </w:rPr>
        <w:t xml:space="preserve"> to </w:t>
      </w:r>
      <w:r w:rsidRPr="00924C77">
        <w:rPr>
          <w:lang w:val="en-GB"/>
        </w:rPr>
        <w:t xml:space="preserve">9.0% among women. Although the </w:t>
      </w:r>
      <w:r>
        <w:rPr>
          <w:lang w:val="en-GB"/>
        </w:rPr>
        <w:t xml:space="preserve">proportional reduction of mortality </w:t>
      </w:r>
      <w:r w:rsidRPr="00924C77">
        <w:rPr>
          <w:lang w:val="en-GB"/>
        </w:rPr>
        <w:t xml:space="preserve">varied across European populations, we found no clear geographical pattern. The </w:t>
      </w:r>
      <w:r>
        <w:rPr>
          <w:lang w:val="en-GB"/>
        </w:rPr>
        <w:t>greatest</w:t>
      </w:r>
      <w:r w:rsidRPr="00924C77">
        <w:rPr>
          <w:lang w:val="en-GB"/>
        </w:rPr>
        <w:t xml:space="preserve"> reduction in mortality for men was observed in Hungary (10.1%) and for women in Finland and Hungary (9.0%). The smallest reduction in mortality was observed in Denmark among men (</w:t>
      </w:r>
      <w:r>
        <w:rPr>
          <w:lang w:val="en-GB"/>
        </w:rPr>
        <w:t>1.9</w:t>
      </w:r>
      <w:r w:rsidRPr="00924C77">
        <w:rPr>
          <w:lang w:val="en-GB"/>
        </w:rPr>
        <w:t xml:space="preserve">%) and in Turin among women (1.7%). </w:t>
      </w:r>
      <w:r>
        <w:rPr>
          <w:lang w:val="en-GB"/>
        </w:rPr>
        <w:t xml:space="preserve">These variations result from the combination of the country-specific future improvement in education and the country-specific effect of education on mortality. </w:t>
      </w:r>
    </w:p>
    <w:p w:rsidR="00E60955" w:rsidRPr="00924C77" w:rsidRDefault="00E60955" w:rsidP="00A117E5">
      <w:pPr>
        <w:spacing w:line="480" w:lineRule="auto"/>
        <w:jc w:val="center"/>
        <w:rPr>
          <w:lang w:val="en-GB"/>
        </w:rPr>
      </w:pPr>
      <w:r w:rsidRPr="00924C77">
        <w:rPr>
          <w:lang w:val="en-GB"/>
        </w:rPr>
        <w:t>*** Figure 1 here ***</w:t>
      </w:r>
    </w:p>
    <w:p w:rsidR="00E60955" w:rsidRPr="00924C77" w:rsidRDefault="00E60955" w:rsidP="00A117E5">
      <w:pPr>
        <w:spacing w:line="480" w:lineRule="auto"/>
        <w:jc w:val="both"/>
        <w:rPr>
          <w:lang w:val="en-GB"/>
        </w:rPr>
      </w:pPr>
    </w:p>
    <w:p w:rsidR="00E60955" w:rsidRDefault="00E60955" w:rsidP="00A117E5">
      <w:pPr>
        <w:spacing w:line="480" w:lineRule="auto"/>
        <w:ind w:firstLine="284"/>
        <w:jc w:val="both"/>
        <w:rPr>
          <w:lang w:val="en-GB"/>
        </w:rPr>
      </w:pPr>
      <w:r w:rsidRPr="00924C77">
        <w:rPr>
          <w:lang w:val="en-GB"/>
        </w:rPr>
        <w:t xml:space="preserve">The impact of </w:t>
      </w:r>
      <w:r>
        <w:rPr>
          <w:lang w:val="en-GB"/>
        </w:rPr>
        <w:t xml:space="preserve">completely </w:t>
      </w:r>
      <w:r w:rsidRPr="00924C77">
        <w:rPr>
          <w:lang w:val="en-GB"/>
        </w:rPr>
        <w:t>equalizing the education</w:t>
      </w:r>
      <w:r>
        <w:rPr>
          <w:lang w:val="en-GB"/>
        </w:rPr>
        <w:t>al</w:t>
      </w:r>
      <w:r w:rsidRPr="00924C77">
        <w:rPr>
          <w:lang w:val="en-GB"/>
        </w:rPr>
        <w:t xml:space="preserve"> distribution is illustrated by the upward levelling scenario, which assumes that all people in the population have </w:t>
      </w:r>
      <w:r>
        <w:rPr>
          <w:lang w:val="en-GB"/>
        </w:rPr>
        <w:t xml:space="preserve">obtained </w:t>
      </w:r>
      <w:r w:rsidRPr="00924C77">
        <w:rPr>
          <w:lang w:val="en-GB"/>
        </w:rPr>
        <w:t>tertiary educat</w:t>
      </w:r>
      <w:r>
        <w:rPr>
          <w:lang w:val="en-GB"/>
        </w:rPr>
        <w:t>ion,</w:t>
      </w:r>
      <w:r w:rsidRPr="00924C77">
        <w:rPr>
          <w:lang w:val="en-GB"/>
        </w:rPr>
        <w:t xml:space="preserve"> and that </w:t>
      </w:r>
      <w:r>
        <w:rPr>
          <w:lang w:val="en-GB"/>
        </w:rPr>
        <w:t xml:space="preserve">consequently they also have </w:t>
      </w:r>
      <w:r w:rsidRPr="00924C77">
        <w:rPr>
          <w:lang w:val="en-GB"/>
        </w:rPr>
        <w:t>the mortality level</w:t>
      </w:r>
      <w:r>
        <w:rPr>
          <w:lang w:val="en-GB"/>
        </w:rPr>
        <w:t xml:space="preserve"> of the tertiary educated</w:t>
      </w:r>
      <w:r w:rsidRPr="00924C77">
        <w:rPr>
          <w:lang w:val="en-GB"/>
        </w:rPr>
        <w:t>. This scenario represents the hypothetical maximum of educational interventions in the given population. By eliminating educational inequality in the population, mortality may be reduced substantially (Figure 1). The potential reduction according to the upward levelling scenario varie</w:t>
      </w:r>
      <w:r>
        <w:rPr>
          <w:lang w:val="en-GB"/>
        </w:rPr>
        <w:t>s</w:t>
      </w:r>
      <w:r w:rsidRPr="00924C77">
        <w:rPr>
          <w:lang w:val="en-GB"/>
        </w:rPr>
        <w:t xml:space="preserve"> across European populations. </w:t>
      </w:r>
      <w:r>
        <w:rPr>
          <w:lang w:val="en-GB"/>
        </w:rPr>
        <w:t>Among men, i</w:t>
      </w:r>
      <w:r w:rsidRPr="00924C77">
        <w:rPr>
          <w:lang w:val="en-GB"/>
        </w:rPr>
        <w:t>t ranged from 20</w:t>
      </w:r>
      <w:r w:rsidR="001E0E3A">
        <w:rPr>
          <w:lang w:val="en-GB"/>
        </w:rPr>
        <w:t>–</w:t>
      </w:r>
      <w:r w:rsidRPr="00924C77">
        <w:rPr>
          <w:lang w:val="en-GB"/>
        </w:rPr>
        <w:t>30% in the South, over about 30% in the North and West, to 40</w:t>
      </w:r>
      <w:r w:rsidR="001E0E3A">
        <w:rPr>
          <w:lang w:val="en-GB"/>
        </w:rPr>
        <w:t>–</w:t>
      </w:r>
      <w:r w:rsidRPr="00924C77">
        <w:rPr>
          <w:lang w:val="en-GB"/>
        </w:rPr>
        <w:t>50% in the Central/East. Among women, the potential reduction of mortality according to the upward levelling scenario ranged from 10</w:t>
      </w:r>
      <w:r w:rsidR="001E0E3A">
        <w:rPr>
          <w:lang w:val="en-GB"/>
        </w:rPr>
        <w:t>–</w:t>
      </w:r>
      <w:r w:rsidRPr="00924C77">
        <w:rPr>
          <w:lang w:val="en-GB"/>
        </w:rPr>
        <w:t>20% in the South, over 20</w:t>
      </w:r>
      <w:r w:rsidR="001E0E3A">
        <w:rPr>
          <w:lang w:val="en-GB"/>
        </w:rPr>
        <w:t>–</w:t>
      </w:r>
      <w:r w:rsidRPr="00924C77">
        <w:rPr>
          <w:lang w:val="en-GB"/>
        </w:rPr>
        <w:t>35% in the West and 30% in the North to 30</w:t>
      </w:r>
      <w:r w:rsidR="001E0E3A">
        <w:rPr>
          <w:lang w:val="en-GB"/>
        </w:rPr>
        <w:t>–</w:t>
      </w:r>
      <w:r w:rsidRPr="00924C77">
        <w:rPr>
          <w:lang w:val="en-GB"/>
        </w:rPr>
        <w:t xml:space="preserve">50% in the </w:t>
      </w:r>
      <w:r w:rsidRPr="00924C77">
        <w:rPr>
          <w:lang w:val="en-GB"/>
        </w:rPr>
        <w:lastRenderedPageBreak/>
        <w:t xml:space="preserve">Central/East. The maximum reduction of mortality that could be achieved among men was 57.0% in the Czech Republic followed by Hungary and Poland (both 54.1%). Among women, the highest reduction of mortality was observed in the Czech Republic (50.0%) followed by Poland (42.9%). </w:t>
      </w:r>
      <w:r>
        <w:rPr>
          <w:lang w:val="en-GB"/>
        </w:rPr>
        <w:t xml:space="preserve">The </w:t>
      </w:r>
      <w:r w:rsidRPr="00924C77">
        <w:rPr>
          <w:lang w:val="en-GB"/>
        </w:rPr>
        <w:t xml:space="preserve">smallest percentage was estimated in southern European populations, especially among men in the Basque Country (22.0%) and among women in Turin (9.6%). </w:t>
      </w:r>
      <w:r>
        <w:rPr>
          <w:lang w:val="en-GB"/>
        </w:rPr>
        <w:t xml:space="preserve">These results are explained by the large differences across European countries in the effect of education on mortality. The effect of education on mortality is smaller in the southern European populations and much larger in central/eastern European populations (Table </w:t>
      </w:r>
      <w:r w:rsidR="001E0E3A">
        <w:rPr>
          <w:lang w:val="en-GB"/>
        </w:rPr>
        <w:t>S</w:t>
      </w:r>
      <w:r>
        <w:rPr>
          <w:lang w:val="en-GB"/>
        </w:rPr>
        <w:t>3 in</w:t>
      </w:r>
      <w:r w:rsidR="001E0E3A">
        <w:rPr>
          <w:lang w:val="en-GB"/>
        </w:rPr>
        <w:t xml:space="preserve"> the electronic</w:t>
      </w:r>
      <w:r>
        <w:rPr>
          <w:lang w:val="en-GB"/>
        </w:rPr>
        <w:t xml:space="preserve"> supplementary material).   </w:t>
      </w:r>
    </w:p>
    <w:p w:rsidR="00E60955" w:rsidRPr="00924C77" w:rsidRDefault="00E60955" w:rsidP="00A117E5">
      <w:pPr>
        <w:spacing w:line="480" w:lineRule="auto"/>
        <w:ind w:firstLine="284"/>
        <w:jc w:val="both"/>
        <w:rPr>
          <w:lang w:val="en-GB"/>
        </w:rPr>
      </w:pPr>
    </w:p>
    <w:p w:rsidR="00E60955" w:rsidRPr="00924C77" w:rsidRDefault="00E60955" w:rsidP="00A117E5">
      <w:pPr>
        <w:spacing w:line="480" w:lineRule="auto"/>
        <w:jc w:val="center"/>
        <w:rPr>
          <w:lang w:val="en-GB"/>
        </w:rPr>
      </w:pPr>
      <w:r w:rsidRPr="00924C77">
        <w:rPr>
          <w:lang w:val="en-GB"/>
        </w:rPr>
        <w:t>*** Table 2 here ***</w:t>
      </w:r>
    </w:p>
    <w:p w:rsidR="00E60955" w:rsidRDefault="00E60955" w:rsidP="00A117E5">
      <w:pPr>
        <w:spacing w:line="480" w:lineRule="auto"/>
        <w:jc w:val="both"/>
        <w:rPr>
          <w:lang w:val="en-GB"/>
        </w:rPr>
      </w:pPr>
    </w:p>
    <w:p w:rsidR="00E60955" w:rsidRDefault="00E60955" w:rsidP="00A117E5">
      <w:pPr>
        <w:spacing w:line="480" w:lineRule="auto"/>
        <w:jc w:val="both"/>
        <w:rPr>
          <w:lang w:val="en-GB"/>
        </w:rPr>
      </w:pPr>
      <w:r w:rsidRPr="00924C77">
        <w:rPr>
          <w:lang w:val="en-GB"/>
        </w:rPr>
        <w:t xml:space="preserve">Table 3 shows the </w:t>
      </w:r>
      <w:r>
        <w:rPr>
          <w:lang w:val="en-GB"/>
        </w:rPr>
        <w:t xml:space="preserve">absolute </w:t>
      </w:r>
      <w:r w:rsidRPr="00924C77">
        <w:rPr>
          <w:lang w:val="en-GB"/>
        </w:rPr>
        <w:t>number of saved deaths (per 100,000 person-years) in the age group 30</w:t>
      </w:r>
      <w:r w:rsidR="00CB7411">
        <w:rPr>
          <w:lang w:val="en-GB"/>
        </w:rPr>
        <w:t>–</w:t>
      </w:r>
      <w:r w:rsidRPr="00924C77">
        <w:rPr>
          <w:lang w:val="en-GB"/>
        </w:rPr>
        <w:t>79 years that may be achieved under the counterfactual scenarios</w:t>
      </w:r>
      <w:r>
        <w:rPr>
          <w:lang w:val="en-GB"/>
        </w:rPr>
        <w:t xml:space="preserve"> in the </w:t>
      </w:r>
      <w:r w:rsidRPr="00924C77">
        <w:rPr>
          <w:lang w:val="en-GB"/>
        </w:rPr>
        <w:t>10</w:t>
      </w:r>
      <w:r w:rsidR="00CB7411">
        <w:rPr>
          <w:lang w:val="en-GB"/>
        </w:rPr>
        <w:t>–15-</w:t>
      </w:r>
      <w:r w:rsidRPr="00924C77">
        <w:rPr>
          <w:lang w:val="en-GB"/>
        </w:rPr>
        <w:t>year time frame. For the cohort replacement scenario, the number of deaths that may be saved among men and women aged 30</w:t>
      </w:r>
      <w:r w:rsidR="00CB7411">
        <w:rPr>
          <w:lang w:val="en-GB"/>
        </w:rPr>
        <w:t>–</w:t>
      </w:r>
      <w:r w:rsidRPr="00924C77">
        <w:rPr>
          <w:lang w:val="en-GB"/>
        </w:rPr>
        <w:t>79 years in the given time frame ranged from 17 to 182 deaths per 100</w:t>
      </w:r>
      <w:r w:rsidRPr="00924C77">
        <w:rPr>
          <w:lang w:val="en-US"/>
        </w:rPr>
        <w:t>,0</w:t>
      </w:r>
      <w:r w:rsidRPr="00924C77">
        <w:rPr>
          <w:lang w:val="en-GB"/>
        </w:rPr>
        <w:t>00 person-years among men and from 7 to 77 deaths per 100,000 person-years among women. The highest number of deaths could be saved in Hungary among both men and women. Looking at the upward levelling scenario, mortality could be reduced by up to 1</w:t>
      </w:r>
      <w:r w:rsidR="00CB7411">
        <w:rPr>
          <w:lang w:val="en-GB"/>
        </w:rPr>
        <w:t>,</w:t>
      </w:r>
      <w:r w:rsidRPr="00924C77">
        <w:rPr>
          <w:lang w:val="en-GB"/>
        </w:rPr>
        <w:t xml:space="preserve">063 deaths per 100,000 person-years among men and 376 deaths per 100,000 person-years among women, both in Estonia. Table </w:t>
      </w:r>
      <w:r>
        <w:rPr>
          <w:lang w:val="en-GB"/>
        </w:rPr>
        <w:t>3</w:t>
      </w:r>
      <w:r w:rsidRPr="00924C77">
        <w:rPr>
          <w:lang w:val="en-GB"/>
        </w:rPr>
        <w:t xml:space="preserve"> also shows the proportion of the </w:t>
      </w:r>
      <w:r>
        <w:rPr>
          <w:lang w:val="en-GB"/>
        </w:rPr>
        <w:t xml:space="preserve">total </w:t>
      </w:r>
      <w:r w:rsidRPr="00924C77">
        <w:rPr>
          <w:lang w:val="en-GB"/>
        </w:rPr>
        <w:t xml:space="preserve">mortality reduction associated with upward levelling that is attributable to the cohort replacement scenario. The cohort replacement scenario was estimated to </w:t>
      </w:r>
      <w:r>
        <w:rPr>
          <w:lang w:val="en-GB"/>
        </w:rPr>
        <w:t>achieve only</w:t>
      </w:r>
      <w:r w:rsidRPr="00924C77">
        <w:rPr>
          <w:lang w:val="en-GB"/>
        </w:rPr>
        <w:t xml:space="preserve"> part of the </w:t>
      </w:r>
      <w:r>
        <w:rPr>
          <w:lang w:val="en-GB"/>
        </w:rPr>
        <w:t xml:space="preserve">potential mortality decrease assessed in the upward levelling scenario. This proportion of the cohort replacement scenario on the upward levelling scenario </w:t>
      </w:r>
      <w:r w:rsidRPr="00924C77">
        <w:rPr>
          <w:lang w:val="en-GB"/>
        </w:rPr>
        <w:t xml:space="preserve">ranged between </w:t>
      </w:r>
      <w:r>
        <w:rPr>
          <w:lang w:val="en-GB"/>
        </w:rPr>
        <w:t>4</w:t>
      </w:r>
      <w:r w:rsidRPr="00924C77">
        <w:rPr>
          <w:lang w:val="en-GB"/>
        </w:rPr>
        <w:t xml:space="preserve">% (Czech Republic) </w:t>
      </w:r>
      <w:r w:rsidRPr="00924C77">
        <w:rPr>
          <w:lang w:val="en-GB"/>
        </w:rPr>
        <w:lastRenderedPageBreak/>
        <w:t>and 25% (</w:t>
      </w:r>
      <w:r>
        <w:rPr>
          <w:lang w:val="en-GB"/>
        </w:rPr>
        <w:t xml:space="preserve">the </w:t>
      </w:r>
      <w:r w:rsidRPr="00924C77">
        <w:rPr>
          <w:lang w:val="en-GB"/>
        </w:rPr>
        <w:t xml:space="preserve">Basque Country) among men and between </w:t>
      </w:r>
      <w:r>
        <w:rPr>
          <w:lang w:val="en-GB"/>
        </w:rPr>
        <w:t>10</w:t>
      </w:r>
      <w:r w:rsidRPr="00924C77">
        <w:rPr>
          <w:lang w:val="en-GB"/>
        </w:rPr>
        <w:t>% (</w:t>
      </w:r>
      <w:r>
        <w:rPr>
          <w:lang w:val="en-GB"/>
        </w:rPr>
        <w:t xml:space="preserve">Madrid, </w:t>
      </w:r>
      <w:r w:rsidRPr="00924C77">
        <w:rPr>
          <w:lang w:val="en-GB"/>
        </w:rPr>
        <w:t>Czech Republic) and 3</w:t>
      </w:r>
      <w:r>
        <w:rPr>
          <w:lang w:val="en-GB"/>
        </w:rPr>
        <w:t>1</w:t>
      </w:r>
      <w:r w:rsidRPr="00924C77">
        <w:rPr>
          <w:lang w:val="en-GB"/>
        </w:rPr>
        <w:t>% (</w:t>
      </w:r>
      <w:r>
        <w:rPr>
          <w:lang w:val="en-GB"/>
        </w:rPr>
        <w:t xml:space="preserve">the </w:t>
      </w:r>
      <w:r w:rsidRPr="00924C77">
        <w:rPr>
          <w:lang w:val="en-GB"/>
        </w:rPr>
        <w:t xml:space="preserve">Basque Country) among women. </w:t>
      </w:r>
    </w:p>
    <w:p w:rsidR="00E60955" w:rsidRPr="00924C77" w:rsidRDefault="00E60955" w:rsidP="00A117E5">
      <w:pPr>
        <w:spacing w:line="480" w:lineRule="auto"/>
        <w:jc w:val="both"/>
        <w:rPr>
          <w:lang w:val="en-GB"/>
        </w:rPr>
      </w:pPr>
    </w:p>
    <w:p w:rsidR="00E60955" w:rsidRPr="00924C77" w:rsidRDefault="00E60955" w:rsidP="00A117E5">
      <w:pPr>
        <w:spacing w:line="480" w:lineRule="auto"/>
        <w:ind w:firstLine="284"/>
        <w:jc w:val="center"/>
        <w:rPr>
          <w:lang w:val="en-GB"/>
        </w:rPr>
      </w:pPr>
      <w:r w:rsidRPr="00924C77">
        <w:rPr>
          <w:lang w:val="en-GB"/>
        </w:rPr>
        <w:t>*** Table 3 here ***</w:t>
      </w:r>
    </w:p>
    <w:p w:rsidR="00E60955" w:rsidRDefault="00E60955" w:rsidP="00A117E5">
      <w:pPr>
        <w:spacing w:line="480" w:lineRule="auto"/>
        <w:jc w:val="both"/>
        <w:rPr>
          <w:b/>
          <w:lang w:val="en-GB"/>
        </w:rPr>
        <w:sectPr w:rsidR="00E60955" w:rsidSect="00A117E5">
          <w:pgSz w:w="11906" w:h="16838"/>
          <w:pgMar w:top="1418" w:right="1418" w:bottom="1418" w:left="1418" w:header="709" w:footer="709" w:gutter="0"/>
          <w:cols w:space="708"/>
          <w:docGrid w:linePitch="360"/>
        </w:sectPr>
      </w:pPr>
    </w:p>
    <w:p w:rsidR="00E60955" w:rsidRPr="00924C77" w:rsidRDefault="00E60955" w:rsidP="00A117E5">
      <w:pPr>
        <w:spacing w:line="480" w:lineRule="auto"/>
        <w:jc w:val="both"/>
        <w:rPr>
          <w:b/>
          <w:lang w:val="en-GB"/>
        </w:rPr>
      </w:pPr>
      <w:r w:rsidRPr="00924C77">
        <w:rPr>
          <w:b/>
          <w:lang w:val="en-GB"/>
        </w:rPr>
        <w:lastRenderedPageBreak/>
        <w:t xml:space="preserve">Discussion </w:t>
      </w:r>
    </w:p>
    <w:p w:rsidR="00E60955" w:rsidRPr="00924C77" w:rsidRDefault="00E60955" w:rsidP="00A117E5">
      <w:pPr>
        <w:pStyle w:val="Caption"/>
        <w:keepNext/>
        <w:spacing w:line="480" w:lineRule="auto"/>
        <w:jc w:val="both"/>
        <w:rPr>
          <w:b w:val="0"/>
          <w:i/>
          <w:sz w:val="24"/>
          <w:szCs w:val="24"/>
          <w:lang w:val="en-GB"/>
        </w:rPr>
      </w:pPr>
      <w:r w:rsidRPr="00924C77">
        <w:rPr>
          <w:b w:val="0"/>
          <w:i/>
          <w:sz w:val="24"/>
          <w:szCs w:val="24"/>
          <w:lang w:val="en-GB"/>
        </w:rPr>
        <w:t>Summary of main findings</w:t>
      </w:r>
    </w:p>
    <w:p w:rsidR="00E60955" w:rsidRPr="00924C77" w:rsidRDefault="00E60955" w:rsidP="00A117E5">
      <w:pPr>
        <w:spacing w:line="480" w:lineRule="auto"/>
        <w:jc w:val="both"/>
        <w:rPr>
          <w:lang w:val="en-GB"/>
        </w:rPr>
      </w:pPr>
      <w:r w:rsidRPr="00924C77">
        <w:rPr>
          <w:lang w:val="en-GB"/>
        </w:rPr>
        <w:t xml:space="preserve">The cohort replacement scenario </w:t>
      </w:r>
      <w:r>
        <w:rPr>
          <w:lang w:val="en-GB"/>
        </w:rPr>
        <w:t>led</w:t>
      </w:r>
      <w:r w:rsidRPr="00924C77">
        <w:rPr>
          <w:lang w:val="en-GB"/>
        </w:rPr>
        <w:t xml:space="preserve"> to a reduction in all-cause mortality in each population observed. </w:t>
      </w:r>
      <w:r w:rsidRPr="002E70D3">
        <w:rPr>
          <w:lang w:val="en-GB"/>
        </w:rPr>
        <w:t xml:space="preserve">There </w:t>
      </w:r>
      <w:r>
        <w:rPr>
          <w:lang w:val="en-GB"/>
        </w:rPr>
        <w:t xml:space="preserve"> were</w:t>
      </w:r>
      <w:r w:rsidRPr="002E70D3">
        <w:rPr>
          <w:lang w:val="en-GB"/>
        </w:rPr>
        <w:t>, however, important variations between countries in the magnitude of mortality reduction, depending on the current population educational distribution, the projected speed of future improvements in educational distribution, and on the mortality rate ratios between educational groups observed in each country.</w:t>
      </w:r>
      <w:r w:rsidRPr="00924C77">
        <w:rPr>
          <w:lang w:val="en-GB"/>
        </w:rPr>
        <w:t xml:space="preserve"> The potential reduction in mortality according to the cohort replacement scenario range</w:t>
      </w:r>
      <w:r w:rsidR="00E05652">
        <w:rPr>
          <w:lang w:val="en-GB"/>
        </w:rPr>
        <w:t>d</w:t>
      </w:r>
      <w:r w:rsidRPr="00924C77">
        <w:rPr>
          <w:lang w:val="en-GB"/>
        </w:rPr>
        <w:t xml:space="preserve"> from </w:t>
      </w:r>
      <w:r>
        <w:rPr>
          <w:lang w:val="en-GB"/>
        </w:rPr>
        <w:t xml:space="preserve">1.9 to </w:t>
      </w:r>
      <w:r w:rsidRPr="00924C77">
        <w:rPr>
          <w:lang w:val="en-GB"/>
        </w:rPr>
        <w:t>10.1% for men and from 1.7</w:t>
      </w:r>
      <w:r>
        <w:rPr>
          <w:lang w:val="en-GB"/>
        </w:rPr>
        <w:t xml:space="preserve"> to </w:t>
      </w:r>
      <w:r w:rsidRPr="00924C77">
        <w:rPr>
          <w:lang w:val="en-GB"/>
        </w:rPr>
        <w:t xml:space="preserve">9.0% for women. </w:t>
      </w:r>
      <w:r>
        <w:rPr>
          <w:lang w:val="en-GB"/>
        </w:rPr>
        <w:t>The reduction of mortality in the upward levelling scenario range</w:t>
      </w:r>
      <w:r w:rsidR="00E05652">
        <w:rPr>
          <w:lang w:val="en-GB"/>
        </w:rPr>
        <w:t>d</w:t>
      </w:r>
      <w:r>
        <w:rPr>
          <w:lang w:val="en-GB"/>
        </w:rPr>
        <w:t xml:space="preserve"> from 22.0 to 57.0% for men and from 9.6 to 50.0% for women. The cohort replacement scenario was estimated to achieve only part (4–25% (men) and 10–31% (women)) of the potential mortality decrease seen in the upward levelling scenario. </w:t>
      </w:r>
    </w:p>
    <w:p w:rsidR="00E60955" w:rsidRPr="00924C77" w:rsidRDefault="00E60955" w:rsidP="00A117E5">
      <w:pPr>
        <w:spacing w:line="480" w:lineRule="auto"/>
        <w:jc w:val="both"/>
        <w:rPr>
          <w:b/>
          <w:lang w:val="en-GB"/>
        </w:rPr>
      </w:pPr>
    </w:p>
    <w:p w:rsidR="00E60955" w:rsidRPr="00924C77" w:rsidRDefault="00E60955" w:rsidP="00A117E5">
      <w:pPr>
        <w:pStyle w:val="Caption"/>
        <w:keepNext/>
        <w:spacing w:line="480" w:lineRule="auto"/>
        <w:jc w:val="both"/>
        <w:rPr>
          <w:b w:val="0"/>
          <w:sz w:val="24"/>
          <w:szCs w:val="24"/>
          <w:lang w:val="en-GB"/>
        </w:rPr>
      </w:pPr>
      <w:r w:rsidRPr="00924C77">
        <w:rPr>
          <w:b w:val="0"/>
          <w:i/>
          <w:sz w:val="24"/>
          <w:szCs w:val="24"/>
          <w:lang w:val="en-GB"/>
        </w:rPr>
        <w:t>Limitations</w:t>
      </w:r>
    </w:p>
    <w:p w:rsidR="00E60955" w:rsidRDefault="00E60955" w:rsidP="00A117E5">
      <w:pPr>
        <w:spacing w:line="480" w:lineRule="auto"/>
        <w:jc w:val="both"/>
        <w:rPr>
          <w:lang w:val="en-GB"/>
        </w:rPr>
      </w:pPr>
      <w:r w:rsidRPr="00924C77">
        <w:rPr>
          <w:lang w:val="en-GB"/>
        </w:rPr>
        <w:t xml:space="preserve">The results have to be interpreted in view of some limitations. </w:t>
      </w:r>
      <w:r>
        <w:rPr>
          <w:lang w:val="en-GB"/>
        </w:rPr>
        <w:t xml:space="preserve">First, </w:t>
      </w:r>
      <w:r w:rsidRPr="00924C77">
        <w:rPr>
          <w:lang w:val="en-GB"/>
        </w:rPr>
        <w:t xml:space="preserve">the assumptions </w:t>
      </w:r>
      <w:r>
        <w:rPr>
          <w:lang w:val="en-GB"/>
        </w:rPr>
        <w:t xml:space="preserve">inherent in </w:t>
      </w:r>
      <w:r w:rsidRPr="00924C77">
        <w:rPr>
          <w:lang w:val="en-GB"/>
        </w:rPr>
        <w:t>the PAF methodology</w:t>
      </w:r>
      <w:r>
        <w:rPr>
          <w:lang w:val="en-GB"/>
        </w:rPr>
        <w:t xml:space="preserve"> and the counterfactual scenarios should be discussed</w:t>
      </w:r>
      <w:r w:rsidRPr="00924C77">
        <w:rPr>
          <w:lang w:val="en-GB"/>
        </w:rPr>
        <w:t>. The main assumption is that the observed associations between education and mortality can be interpreted as causal effect</w:t>
      </w:r>
      <w:r>
        <w:rPr>
          <w:lang w:val="en-GB"/>
        </w:rPr>
        <w:t>s of education on mortality</w:t>
      </w:r>
      <w:r w:rsidRPr="00924C77">
        <w:rPr>
          <w:lang w:val="en-GB"/>
        </w:rPr>
        <w:t xml:space="preserve">. </w:t>
      </w:r>
      <w:r>
        <w:rPr>
          <w:lang w:val="en-GB"/>
        </w:rPr>
        <w:t xml:space="preserve">As we mentioned in the introduction, while there is likely to be such a causal effect, part of the observed association may also be due to the </w:t>
      </w:r>
      <w:r w:rsidRPr="00924C77">
        <w:rPr>
          <w:lang w:val="en-GB"/>
        </w:rPr>
        <w:t xml:space="preserve">selection of healthy individuals into </w:t>
      </w:r>
      <w:r>
        <w:rPr>
          <w:lang w:val="en-GB"/>
        </w:rPr>
        <w:t xml:space="preserve">higher </w:t>
      </w:r>
      <w:r w:rsidRPr="00924C77">
        <w:rPr>
          <w:lang w:val="en-GB"/>
        </w:rPr>
        <w:t>education</w:t>
      </w:r>
      <w:r>
        <w:rPr>
          <w:lang w:val="en-GB"/>
        </w:rPr>
        <w:t xml:space="preserve">. Although we stratified the analyses by sex and age and therefore controlled for these variables, we did not include any other confounders, such as cognitive ability, personality or family background, when calculating mortality rate ratios because such information was not available in our data. Our results are therefore likely to overestimate the effect of education on mortality because we interpret the observed association as an approximation of the causal effect.  </w:t>
      </w:r>
    </w:p>
    <w:p w:rsidR="00E60955" w:rsidRDefault="00E60955" w:rsidP="00A117E5">
      <w:pPr>
        <w:spacing w:line="480" w:lineRule="auto"/>
        <w:ind w:firstLine="284"/>
        <w:jc w:val="both"/>
        <w:rPr>
          <w:lang w:val="en-GB"/>
        </w:rPr>
      </w:pPr>
      <w:r>
        <w:rPr>
          <w:lang w:val="en-GB"/>
        </w:rPr>
        <w:lastRenderedPageBreak/>
        <w:t xml:space="preserve">Second, in the cohort replacement scenario, we defined an educational structure for the youngest age group based on limited assumptions. However, as the mortality rates are low in this age group, this is not likely to strongly impact our results. </w:t>
      </w:r>
    </w:p>
    <w:p w:rsidR="00E60955" w:rsidRDefault="00E60955" w:rsidP="00A117E5">
      <w:pPr>
        <w:spacing w:line="480" w:lineRule="auto"/>
        <w:ind w:firstLine="284"/>
        <w:jc w:val="both"/>
        <w:rPr>
          <w:lang w:val="en-GB"/>
        </w:rPr>
      </w:pPr>
      <w:r>
        <w:rPr>
          <w:lang w:val="en-GB"/>
        </w:rPr>
        <w:t xml:space="preserve">Third, our scenarios did not take into account any changes in migration, which are known to differ by education. This is likely to have impacted our results, but it is difficult to assess the magnitude of the effect, and our results should therefore be interpreted as estimates of what will happen in the absence of migration.  </w:t>
      </w:r>
    </w:p>
    <w:p w:rsidR="00E60955" w:rsidRPr="00924C77" w:rsidRDefault="00E60955" w:rsidP="00A117E5">
      <w:pPr>
        <w:spacing w:line="480" w:lineRule="auto"/>
        <w:ind w:firstLine="284"/>
        <w:jc w:val="both"/>
        <w:rPr>
          <w:lang w:val="en-GB"/>
        </w:rPr>
      </w:pPr>
      <w:r>
        <w:rPr>
          <w:lang w:val="en-GB"/>
        </w:rPr>
        <w:t>Fourth, we assumed that the population</w:t>
      </w:r>
      <w:r w:rsidR="00E05652">
        <w:rPr>
          <w:lang w:val="en-GB"/>
        </w:rPr>
        <w:t>s</w:t>
      </w:r>
      <w:r>
        <w:rPr>
          <w:lang w:val="en-GB"/>
        </w:rPr>
        <w:t xml:space="preserve"> size and relative risks of mortality by educational groups remained constant over time. However, this may not be true if lower educated people become a more selected group with worse health and consequently an increased mortality risk </w:t>
      </w:r>
      <w:r>
        <w:rPr>
          <w:noProof/>
          <w:lang w:val="en-GB"/>
        </w:rPr>
        <w:t>(Deboosere, Gadeyne, &amp; Oyen, 2009)</w:t>
      </w:r>
      <w:r>
        <w:rPr>
          <w:lang w:val="en-GB"/>
        </w:rPr>
        <w:t xml:space="preserve">. Similarly, higher educated may become a less selected group, which may raise their relative risks of mortality. </w:t>
      </w:r>
      <w:r w:rsidRPr="00924C77">
        <w:rPr>
          <w:lang w:val="en-GB"/>
        </w:rPr>
        <w:t xml:space="preserve">We assume that new groups receiving high education also adopt the previously-observed lifestyle and the behaviour of high educated. However, this behaviour adoption may happen with different time lags and at different speeds across European countries due to different country-specific historic circumstances. Besides that, </w:t>
      </w:r>
      <w:r>
        <w:rPr>
          <w:lang w:val="en-GB"/>
        </w:rPr>
        <w:t xml:space="preserve">education as an indicator of social stratification may be less relevant as the proportion of tertiary educated in the population increases. It is likely that the increase in the proportion of high educated will not always match with the increase in the proportion of higher occupational opportunities. </w:t>
      </w:r>
      <w:r w:rsidRPr="00924C77">
        <w:rPr>
          <w:lang w:val="en-GB"/>
        </w:rPr>
        <w:t xml:space="preserve">As a consequence, </w:t>
      </w:r>
      <w:r>
        <w:rPr>
          <w:lang w:val="en-GB"/>
        </w:rPr>
        <w:t xml:space="preserve">a certain proportion of high educated people will face over-qualification and the health returns to education should therefore presumably diminish. Indeed, over-qualification has been reported to be harmful for self-reported health </w:t>
      </w:r>
      <w:r w:rsidR="00E05652">
        <w:rPr>
          <w:noProof/>
          <w:lang w:val="en-GB"/>
        </w:rPr>
        <w:t>(</w:t>
      </w:r>
      <w:r>
        <w:rPr>
          <w:noProof/>
          <w:lang w:val="en-GB"/>
        </w:rPr>
        <w:t>Smith &amp; Frank, 2005)</w:t>
      </w:r>
      <w:r>
        <w:rPr>
          <w:lang w:val="en-GB"/>
        </w:rPr>
        <w:t xml:space="preserve"> and mental health </w:t>
      </w:r>
      <w:r>
        <w:rPr>
          <w:noProof/>
          <w:lang w:val="en-GB"/>
        </w:rPr>
        <w:t>(Chen, Smith, &amp; Mustard, 2010)</w:t>
      </w:r>
      <w:r>
        <w:rPr>
          <w:lang w:val="en-GB"/>
        </w:rPr>
        <w:t xml:space="preserve">, although no association was found between over-qualification and all-cause or cardiovascular disease mortality </w:t>
      </w:r>
      <w:r>
        <w:rPr>
          <w:noProof/>
          <w:lang w:val="en-GB"/>
        </w:rPr>
        <w:t>(Smith, Smith, Etches, &amp; Mustard, 2012)</w:t>
      </w:r>
      <w:r>
        <w:rPr>
          <w:lang w:val="en-GB"/>
        </w:rPr>
        <w:t xml:space="preserve">.  It may also be that as the proportion of tertiary educated people increases, new stratifications appear within this </w:t>
      </w:r>
      <w:r>
        <w:rPr>
          <w:lang w:val="en-GB"/>
        </w:rPr>
        <w:lastRenderedPageBreak/>
        <w:t xml:space="preserve">group, both vertically (referring to distinct course levels or cycles, such as bachelor, master or PhD degree) and horizontally (considering the prestige of the university and of the study field) </w:t>
      </w:r>
      <w:r>
        <w:rPr>
          <w:noProof/>
          <w:lang w:val="en-GB"/>
        </w:rPr>
        <w:t>(Triventi, 2013)</w:t>
      </w:r>
      <w:r>
        <w:rPr>
          <w:lang w:val="en-GB"/>
        </w:rPr>
        <w:t xml:space="preserve">. These new stratifications are likely to generate new educational inequalities in health within the high educated group. Erikson </w:t>
      </w:r>
      <w:r>
        <w:rPr>
          <w:noProof/>
          <w:lang w:val="en-GB"/>
        </w:rPr>
        <w:t>(2001)</w:t>
      </w:r>
      <w:r>
        <w:rPr>
          <w:lang w:val="en-GB"/>
        </w:rPr>
        <w:t xml:space="preserve"> found that in Sweden, university graduates having a PhD degree live longer that those having a Master’s degree. </w:t>
      </w:r>
    </w:p>
    <w:p w:rsidR="00E60955" w:rsidRDefault="00E60955" w:rsidP="00A117E5">
      <w:pPr>
        <w:pStyle w:val="Default"/>
        <w:spacing w:line="480" w:lineRule="auto"/>
        <w:ind w:firstLine="284"/>
        <w:jc w:val="both"/>
        <w:rPr>
          <w:lang w:val="en-GB"/>
        </w:rPr>
      </w:pPr>
      <w:r w:rsidRPr="00924C77">
        <w:rPr>
          <w:lang w:val="en-GB"/>
        </w:rPr>
        <w:t>These limitations imply that our calculations are hypothetical illustrations of the effect of educational changes on mortality. The findings show the rough dimensions and orders of magnitude of what could be gained if the enormous improvements in educational expansion</w:t>
      </w:r>
      <w:r>
        <w:rPr>
          <w:lang w:val="en-GB"/>
        </w:rPr>
        <w:t xml:space="preserve"> would</w:t>
      </w:r>
      <w:r w:rsidRPr="00924C77">
        <w:rPr>
          <w:lang w:val="en-GB"/>
        </w:rPr>
        <w:t xml:space="preserve"> </w:t>
      </w:r>
      <w:r>
        <w:rPr>
          <w:lang w:val="en-GB"/>
        </w:rPr>
        <w:t>continue</w:t>
      </w:r>
      <w:r w:rsidRPr="00924C77">
        <w:rPr>
          <w:lang w:val="en-GB"/>
        </w:rPr>
        <w:t xml:space="preserve">. By illustrating the potential gains they also show what is at stake and how much </w:t>
      </w:r>
      <w:r>
        <w:rPr>
          <w:lang w:val="en-GB"/>
        </w:rPr>
        <w:t xml:space="preserve">potential </w:t>
      </w:r>
      <w:r w:rsidRPr="00924C77">
        <w:rPr>
          <w:lang w:val="en-GB"/>
        </w:rPr>
        <w:t xml:space="preserve">health </w:t>
      </w:r>
      <w:r>
        <w:rPr>
          <w:lang w:val="en-GB"/>
        </w:rPr>
        <w:t xml:space="preserve">gains </w:t>
      </w:r>
      <w:r w:rsidRPr="00924C77">
        <w:rPr>
          <w:lang w:val="en-GB"/>
        </w:rPr>
        <w:t xml:space="preserve">could be lost if we reduced efforts in the educational field. </w:t>
      </w:r>
    </w:p>
    <w:p w:rsidR="00E60955" w:rsidRDefault="00E60955" w:rsidP="00A117E5">
      <w:pPr>
        <w:pStyle w:val="Default"/>
        <w:spacing w:line="480" w:lineRule="auto"/>
        <w:jc w:val="both"/>
        <w:rPr>
          <w:lang w:val="en-GB"/>
        </w:rPr>
      </w:pPr>
    </w:p>
    <w:p w:rsidR="00E60955" w:rsidRDefault="00E60955" w:rsidP="00A117E5">
      <w:pPr>
        <w:pStyle w:val="Default"/>
        <w:spacing w:line="480" w:lineRule="auto"/>
        <w:jc w:val="both"/>
        <w:rPr>
          <w:i/>
          <w:lang w:val="en-GB"/>
        </w:rPr>
      </w:pPr>
      <w:r>
        <w:rPr>
          <w:i/>
          <w:lang w:val="en-GB"/>
        </w:rPr>
        <w:t>Interpretation</w:t>
      </w:r>
    </w:p>
    <w:p w:rsidR="00E60955" w:rsidRDefault="00E60955" w:rsidP="00A117E5">
      <w:pPr>
        <w:spacing w:line="480" w:lineRule="auto"/>
        <w:jc w:val="both"/>
        <w:rPr>
          <w:lang w:val="en-GB"/>
        </w:rPr>
      </w:pPr>
      <w:r>
        <w:rPr>
          <w:lang w:val="en-GB"/>
        </w:rPr>
        <w:t xml:space="preserve">Education is linked to health via several pathways </w:t>
      </w:r>
      <w:r w:rsidRPr="00924C77">
        <w:rPr>
          <w:lang w:val="en-GB"/>
        </w:rPr>
        <w:t xml:space="preserve">which are not mutually exclusive. </w:t>
      </w:r>
      <w:r>
        <w:rPr>
          <w:lang w:val="en-GB"/>
        </w:rPr>
        <w:t xml:space="preserve">The education-health relationship may be confounded by childhood socioeconomic circumstances and/or cognitive ability and may be explained by several main factors including material conditions, social-psychological resources and healthy lifestyle </w:t>
      </w:r>
      <w:r w:rsidRPr="00924C77">
        <w:rPr>
          <w:noProof/>
          <w:lang w:val="en-GB"/>
        </w:rPr>
        <w:t>(Chandola, Clarke, Morris, &amp; Blane, 2006)</w:t>
      </w:r>
      <w:r>
        <w:rPr>
          <w:lang w:val="en-GB"/>
        </w:rPr>
        <w:t>.</w:t>
      </w:r>
      <w:r w:rsidRPr="00924C77">
        <w:rPr>
          <w:lang w:val="en-GB"/>
        </w:rPr>
        <w:t xml:space="preserve"> </w:t>
      </w:r>
    </w:p>
    <w:p w:rsidR="00E60955" w:rsidRPr="00924C77" w:rsidRDefault="00E60955" w:rsidP="00A117E5">
      <w:pPr>
        <w:spacing w:line="480" w:lineRule="auto"/>
        <w:ind w:firstLine="284"/>
        <w:jc w:val="both"/>
        <w:rPr>
          <w:lang w:val="en-GB"/>
        </w:rPr>
      </w:pPr>
      <w:r>
        <w:rPr>
          <w:lang w:val="en-GB"/>
        </w:rPr>
        <w:t xml:space="preserve">Although childhood socioeconomic circumstances, such as parental socioeconomic background and material conditions during childhood, may play an important role in the final health outcomes over the life course </w:t>
      </w:r>
      <w:r>
        <w:rPr>
          <w:noProof/>
          <w:lang w:val="en-GB"/>
        </w:rPr>
        <w:t>(Lynch, Kaplan, &amp; Salonen, 1997)</w:t>
      </w:r>
      <w:r>
        <w:rPr>
          <w:lang w:val="en-GB"/>
        </w:rPr>
        <w:t xml:space="preserve">, they happen before education is completed. The cognitive ability may be genetically given, however, it is enhanced through education </w:t>
      </w:r>
      <w:r>
        <w:rPr>
          <w:noProof/>
          <w:lang w:val="en-GB"/>
        </w:rPr>
        <w:t>(Blair, Gamson, Thorne, &amp; Baker, 2005)</w:t>
      </w:r>
      <w:r>
        <w:rPr>
          <w:lang w:val="en-GB"/>
        </w:rPr>
        <w:t xml:space="preserve">. The analytical and communication skills acquired by education promote risk assessment and decision making abilities, which in turn help to better cope with stress, to more effectively use the health care system </w:t>
      </w:r>
      <w:r>
        <w:rPr>
          <w:noProof/>
          <w:lang w:val="en-GB"/>
        </w:rPr>
        <w:t>(Hummer, Rogers, &amp; Eberstein, 1998; Mirowsky &amp; Ross, 1998)</w:t>
      </w:r>
      <w:r>
        <w:rPr>
          <w:lang w:val="en-GB"/>
        </w:rPr>
        <w:t xml:space="preserve"> or to avoid </w:t>
      </w:r>
      <w:r>
        <w:rPr>
          <w:lang w:val="en-GB"/>
        </w:rPr>
        <w:lastRenderedPageBreak/>
        <w:t xml:space="preserve">unnecessary treatments </w:t>
      </w:r>
      <w:r>
        <w:rPr>
          <w:noProof/>
          <w:lang w:val="en-GB"/>
        </w:rPr>
        <w:t>(Marshall, Hardy, &amp; Kuh, 2000)</w:t>
      </w:r>
      <w:r>
        <w:rPr>
          <w:lang w:val="en-GB"/>
        </w:rPr>
        <w:t xml:space="preserve">. Therefore among the least educated people, lacking these skills may impair the ability to use the available health care services for prevention or clinical procedures, </w:t>
      </w:r>
      <w:r w:rsidR="00693F8E">
        <w:rPr>
          <w:lang w:val="en-GB"/>
        </w:rPr>
        <w:t xml:space="preserve">and in the end result in worse </w:t>
      </w:r>
      <w:r>
        <w:rPr>
          <w:lang w:val="en-GB"/>
        </w:rPr>
        <w:t xml:space="preserve">health outcome </w:t>
      </w:r>
      <w:r>
        <w:rPr>
          <w:noProof/>
          <w:lang w:val="en-GB"/>
        </w:rPr>
        <w:t>(Baker, Wolf, Feinglass, Thompson, Gazmararian, &amp; Huang, 2007; Dewalt, Berkman, Sheridan, Lohr, &amp; Pignone, 2004)</w:t>
      </w:r>
      <w:r>
        <w:rPr>
          <w:lang w:val="en-GB"/>
        </w:rPr>
        <w:t xml:space="preserve">. </w:t>
      </w:r>
    </w:p>
    <w:p w:rsidR="00E60955" w:rsidRPr="00924C77" w:rsidRDefault="00E60955" w:rsidP="00A117E5">
      <w:pPr>
        <w:spacing w:line="480" w:lineRule="auto"/>
        <w:ind w:firstLine="284"/>
        <w:jc w:val="both"/>
        <w:rPr>
          <w:lang w:val="en-GB"/>
        </w:rPr>
      </w:pPr>
      <w:r>
        <w:rPr>
          <w:lang w:val="en-GB"/>
        </w:rPr>
        <w:t xml:space="preserve">Regarding the material conditions, such as </w:t>
      </w:r>
      <w:r w:rsidRPr="00924C77">
        <w:rPr>
          <w:lang w:val="en-GB"/>
        </w:rPr>
        <w:t xml:space="preserve">work and economic conditions, low educated individuals are </w:t>
      </w:r>
      <w:r>
        <w:rPr>
          <w:lang w:val="en-GB"/>
        </w:rPr>
        <w:t xml:space="preserve">more likely to hold jobs with </w:t>
      </w:r>
      <w:r w:rsidRPr="00924C77">
        <w:rPr>
          <w:lang w:val="en-GB"/>
        </w:rPr>
        <w:t>higher environmental and physical risks. For instance, mortality due to asbestosis, mesothelioma or silicosis</w:t>
      </w:r>
      <w:r>
        <w:rPr>
          <w:lang w:val="en-GB"/>
        </w:rPr>
        <w:t>, which is mostly due to occupational exposure to asbestos and silica,</w:t>
      </w:r>
      <w:r w:rsidRPr="00924C77">
        <w:rPr>
          <w:lang w:val="en-GB"/>
        </w:rPr>
        <w:t xml:space="preserve"> </w:t>
      </w:r>
      <w:r>
        <w:rPr>
          <w:lang w:val="en-GB"/>
        </w:rPr>
        <w:t xml:space="preserve">still </w:t>
      </w:r>
      <w:r w:rsidRPr="00924C77">
        <w:rPr>
          <w:lang w:val="en-GB"/>
        </w:rPr>
        <w:t xml:space="preserve">largely contributes to </w:t>
      </w:r>
      <w:r>
        <w:rPr>
          <w:lang w:val="en-GB"/>
        </w:rPr>
        <w:t xml:space="preserve">socioeconomic </w:t>
      </w:r>
      <w:r w:rsidRPr="00924C77">
        <w:rPr>
          <w:lang w:val="en-GB"/>
        </w:rPr>
        <w:t xml:space="preserve">inequalities in mortality in several European countries </w:t>
      </w:r>
      <w:r>
        <w:rPr>
          <w:lang w:val="en-GB"/>
        </w:rPr>
        <w:t xml:space="preserve">up until today </w:t>
      </w:r>
      <w:r w:rsidRPr="00924C77">
        <w:rPr>
          <w:noProof/>
          <w:lang w:val="en-GB"/>
        </w:rPr>
        <w:t>(Herbert &amp; Landrigan, 2000)</w:t>
      </w:r>
      <w:r w:rsidRPr="00924C77">
        <w:rPr>
          <w:lang w:val="en-GB"/>
        </w:rPr>
        <w:t xml:space="preserve">. Better educated people are less likely to be unemployed and face economic hardship. They have higher income and more fulfilling and rewarding jobs than less educated individuals </w:t>
      </w:r>
      <w:r w:rsidRPr="00924C77">
        <w:rPr>
          <w:noProof/>
          <w:lang w:val="en-GB"/>
        </w:rPr>
        <w:t>(Ross &amp; Wu, 1995)</w:t>
      </w:r>
      <w:r w:rsidRPr="00924C77">
        <w:rPr>
          <w:lang w:val="en-GB"/>
        </w:rPr>
        <w:t xml:space="preserve">. </w:t>
      </w:r>
      <w:r>
        <w:rPr>
          <w:lang w:val="en-GB"/>
        </w:rPr>
        <w:t xml:space="preserve">In addition, better educated people were reported to have higher key </w:t>
      </w:r>
      <w:r w:rsidRPr="00924C77">
        <w:rPr>
          <w:lang w:val="en-GB"/>
        </w:rPr>
        <w:t>social-psychologica</w:t>
      </w:r>
      <w:r>
        <w:rPr>
          <w:lang w:val="en-GB"/>
        </w:rPr>
        <w:t xml:space="preserve">l resources, such as </w:t>
      </w:r>
      <w:r w:rsidRPr="00924C77">
        <w:rPr>
          <w:lang w:val="en-GB"/>
        </w:rPr>
        <w:t xml:space="preserve">sense of personal control and social support. </w:t>
      </w:r>
      <w:r>
        <w:rPr>
          <w:lang w:val="en-GB"/>
        </w:rPr>
        <w:t xml:space="preserve">These resources </w:t>
      </w:r>
      <w:r w:rsidRPr="00924C77">
        <w:rPr>
          <w:lang w:val="en-GB"/>
        </w:rPr>
        <w:t>improve health through enhancing health-related behaviour and decreasing mental health problems.</w:t>
      </w:r>
      <w:r>
        <w:rPr>
          <w:lang w:val="en-GB"/>
        </w:rPr>
        <w:t xml:space="preserve"> Finally, </w:t>
      </w:r>
      <w:r w:rsidRPr="00924C77">
        <w:rPr>
          <w:lang w:val="en-GB"/>
        </w:rPr>
        <w:t xml:space="preserve">high educated people </w:t>
      </w:r>
      <w:r>
        <w:rPr>
          <w:lang w:val="en-GB"/>
        </w:rPr>
        <w:t xml:space="preserve">have a more healthy way of life, including </w:t>
      </w:r>
      <w:r w:rsidRPr="00924C77">
        <w:rPr>
          <w:lang w:val="en-GB"/>
        </w:rPr>
        <w:t xml:space="preserve">less </w:t>
      </w:r>
      <w:r>
        <w:rPr>
          <w:lang w:val="en-GB"/>
        </w:rPr>
        <w:t xml:space="preserve">smoking </w:t>
      </w:r>
      <w:r w:rsidRPr="00924C77">
        <w:rPr>
          <w:lang w:val="en-GB"/>
        </w:rPr>
        <w:t>and</w:t>
      </w:r>
      <w:r>
        <w:rPr>
          <w:lang w:val="en-GB"/>
        </w:rPr>
        <w:t xml:space="preserve"> drinking</w:t>
      </w:r>
      <w:r w:rsidRPr="00924C77">
        <w:rPr>
          <w:lang w:val="en-GB"/>
        </w:rPr>
        <w:t xml:space="preserve"> and more</w:t>
      </w:r>
      <w:r>
        <w:rPr>
          <w:lang w:val="en-GB"/>
        </w:rPr>
        <w:t xml:space="preserve"> physical activity</w:t>
      </w:r>
      <w:r w:rsidRPr="00924C77">
        <w:rPr>
          <w:lang w:val="en-GB"/>
        </w:rPr>
        <w:t xml:space="preserve">. </w:t>
      </w:r>
    </w:p>
    <w:p w:rsidR="00E60955" w:rsidRDefault="00E60955" w:rsidP="00A117E5">
      <w:pPr>
        <w:pStyle w:val="Default"/>
        <w:spacing w:line="480" w:lineRule="auto"/>
        <w:ind w:firstLine="284"/>
        <w:jc w:val="both"/>
        <w:rPr>
          <w:lang w:val="en-GB"/>
        </w:rPr>
      </w:pPr>
      <w:r>
        <w:rPr>
          <w:lang w:val="en-GB"/>
        </w:rPr>
        <w:t xml:space="preserve">The upward levelling scenario presents a theoretical maximum that can be achieved if the educational distribution is ‘equalized’ without taking into account any other factors contributing to socioeconomic inequalities in mortality. The cohort replacement scenario is an illustration of the effect of the on-going improvement in education on mortality. As expected, the potential decrease in mortality is larger under the upward levelling scenario that under the cohort replacement scenario. However, the gender pattern differs between the two scenarios and large differences in the magnitude of the reduction of mortality are observed between countries. </w:t>
      </w:r>
    </w:p>
    <w:p w:rsidR="00E60955" w:rsidRDefault="00E60955" w:rsidP="00A117E5">
      <w:pPr>
        <w:pStyle w:val="Default"/>
        <w:spacing w:line="480" w:lineRule="auto"/>
        <w:ind w:firstLine="284"/>
        <w:jc w:val="both"/>
        <w:rPr>
          <w:lang w:val="en-GB"/>
        </w:rPr>
      </w:pPr>
      <w:r>
        <w:rPr>
          <w:lang w:val="en-GB"/>
        </w:rPr>
        <w:lastRenderedPageBreak/>
        <w:t xml:space="preserve">  In the past, education was lower among women than among men. However during the past decades, education strongly increased among women and nowadays, education is similar or even higher among women, as shown by the educational distribution in the youngest age group. As a consequence, the observed improvement in educational attainment has greater impact among women in most European populations investigated. In other words, without any intervention focusing on education, women will benefit more than men from the on-going educational improvement in terms of mortality decrease. The more important on-going improvement in educational attainment among women is mirrored in the share of the cohort replacement scenario on upward levelling scenario that is much higher among women than among men in all populations but Madrid. This is also shown by the larger proportional reduction of mortality among women in the cohort replacement scenario. The gender difference, though, is not very large. This is likely to be due to the educational differences in mortality that are smaller among women, and somehow compensate the gender differences in the educational structure of the population. The importance of educational differences in mortality is clear when we look at the upward levelling scenario. Contrary to the cohort replacement scenario, the upward levelling scenario suggests a bigger scope for improvement among men than women. This may seem counterintuitive given the lower education among women at older ages where the mortality rates are high, but this is largely explained by the larger educational differences in mortality among men than among women. </w:t>
      </w:r>
    </w:p>
    <w:p w:rsidR="00E60955" w:rsidRDefault="00E60955" w:rsidP="00A117E5">
      <w:pPr>
        <w:pStyle w:val="Default"/>
        <w:spacing w:line="480" w:lineRule="auto"/>
        <w:ind w:firstLine="284"/>
        <w:jc w:val="both"/>
        <w:rPr>
          <w:lang w:val="en-GB"/>
        </w:rPr>
      </w:pPr>
      <w:r>
        <w:rPr>
          <w:lang w:val="en-GB"/>
        </w:rPr>
        <w:t xml:space="preserve">Although there is a large scope for improvement in all European countries, the greatest proportional reductions of mortality for the upward levelling scenario were found in central/eastern European countries for both men and women whereas these countries exhibit great but not outstanding proportional reductions of mortality for the cohort replacement scenario. These results are the consequence of both a country-specific pattern of educational differences in mortality and a country-specific educational distribution. In these countries, the </w:t>
      </w:r>
      <w:r>
        <w:rPr>
          <w:lang w:val="en-GB"/>
        </w:rPr>
        <w:lastRenderedPageBreak/>
        <w:t>on-going increase in education is mainly a shift from low to middle educated, the percentage of high educated men remaining stable, and mortality among the middle educated group is high. So there is not much mortality gain with the on-going educational improvement. On the</w:t>
      </w:r>
      <w:r w:rsidR="00B80844">
        <w:rPr>
          <w:lang w:val="en-GB"/>
        </w:rPr>
        <w:t xml:space="preserve"> </w:t>
      </w:r>
      <w:r>
        <w:rPr>
          <w:lang w:val="en-GB"/>
        </w:rPr>
        <w:t xml:space="preserve">other hand, mortality decreased substantially under the upward levelling-up scenario. This is the consequence of the very large educational differences in mortality and of the low proportion of high educated in these countries. These results may be partly attributable to the communist history of compulsory education until an advanced age, which led to a large proportion of primary and secondary educated people but very few high educated. It may also be that education is still not recognized as an important factor of economic development in these countries. In contrast, the smallest theoretical potential gain in mortality was reported in the southern European populations, especially among women. These findings are observed although the educational level is similar to or even lower than in the other European populations. They are likely to mirror the smaller effect of education on mortality in these countries than, e.g. in the Nordic countries. </w:t>
      </w:r>
    </w:p>
    <w:p w:rsidR="00E60955" w:rsidRDefault="00E60955" w:rsidP="00A117E5">
      <w:pPr>
        <w:pStyle w:val="Default"/>
        <w:spacing w:line="480" w:lineRule="auto"/>
        <w:ind w:firstLine="284"/>
        <w:jc w:val="both"/>
        <w:rPr>
          <w:lang w:val="en-GB"/>
        </w:rPr>
      </w:pPr>
      <w:r>
        <w:rPr>
          <w:lang w:val="en-GB"/>
        </w:rPr>
        <w:t xml:space="preserve">Finally, the gender differences in the potential for mortality decrease are large for the upward levelling scenario in all populations except in Northern Europe, England and Wales, Scotland, the Netherlands and Belgium. It therefore looks as if in the latter populations the higher education and the consequently smaller potential for educational improvement among women are balanced by larger educational differences in mortality. </w:t>
      </w:r>
    </w:p>
    <w:p w:rsidR="00E60955" w:rsidRPr="00EA33F5" w:rsidRDefault="00E60955" w:rsidP="00A117E5">
      <w:pPr>
        <w:spacing w:line="480" w:lineRule="auto"/>
        <w:jc w:val="both"/>
        <w:rPr>
          <w:lang w:val="en-GB"/>
        </w:rPr>
      </w:pPr>
    </w:p>
    <w:p w:rsidR="00E60955" w:rsidRPr="00924C77" w:rsidRDefault="00E60955" w:rsidP="00A117E5">
      <w:pPr>
        <w:spacing w:line="480" w:lineRule="auto"/>
        <w:jc w:val="both"/>
        <w:rPr>
          <w:i/>
          <w:lang w:val="en-GB"/>
        </w:rPr>
      </w:pPr>
      <w:r w:rsidRPr="00924C77">
        <w:rPr>
          <w:i/>
          <w:lang w:val="en-GB"/>
        </w:rPr>
        <w:t>Implications</w:t>
      </w:r>
    </w:p>
    <w:p w:rsidR="00E60955" w:rsidRDefault="00E60955" w:rsidP="00A117E5">
      <w:pPr>
        <w:spacing w:line="480" w:lineRule="auto"/>
        <w:jc w:val="both"/>
        <w:rPr>
          <w:bCs/>
          <w:lang w:val="en-GB"/>
        </w:rPr>
      </w:pPr>
      <w:r>
        <w:rPr>
          <w:bCs/>
          <w:lang w:val="en-GB"/>
        </w:rPr>
        <w:t xml:space="preserve">The educational distribution is one of the most important sources of population heterogeneity with major social, economic, cultural and health consequences. As the educational composition of the population is a key for economic development and productivity, the future progress in education very likely affects the population development </w:t>
      </w:r>
      <w:r>
        <w:rPr>
          <w:bCs/>
          <w:noProof/>
          <w:lang w:val="en-GB"/>
        </w:rPr>
        <w:t xml:space="preserve">(Lutz, Goujon, &amp; </w:t>
      </w:r>
      <w:r>
        <w:rPr>
          <w:bCs/>
          <w:noProof/>
          <w:lang w:val="en-GB"/>
        </w:rPr>
        <w:lastRenderedPageBreak/>
        <w:t>Doblhammer-Reiter, 1998; Lutz &amp; KC, 2011)</w:t>
      </w:r>
      <w:r>
        <w:rPr>
          <w:bCs/>
          <w:lang w:val="en-GB"/>
        </w:rPr>
        <w:t xml:space="preserve">. Investments in education may have important side-effects on population health as better education is associated with lower mortality, better health, more migration and economic growth. </w:t>
      </w:r>
    </w:p>
    <w:p w:rsidR="00E60955" w:rsidRDefault="00E60955" w:rsidP="00A117E5">
      <w:pPr>
        <w:spacing w:line="480" w:lineRule="auto"/>
        <w:ind w:firstLine="284"/>
        <w:jc w:val="both"/>
        <w:rPr>
          <w:bCs/>
          <w:lang w:val="en-GB"/>
        </w:rPr>
      </w:pPr>
      <w:r>
        <w:rPr>
          <w:bCs/>
          <w:lang w:val="en-GB"/>
        </w:rPr>
        <w:t xml:space="preserve">From this point of view, it is surprising that educational attainment was rarely included into population projections. Researchers have forecasted the effect of trends in selected proximal risk factors, such as smoking and obesity, on future life expectancy in the United States </w:t>
      </w:r>
      <w:r>
        <w:rPr>
          <w:bCs/>
          <w:noProof/>
          <w:lang w:val="en-GB"/>
        </w:rPr>
        <w:t>(Preston, Stokes, Mehta, &amp; Cao, 2014; Stewart, Cutler, &amp; Rosen, 2009)</w:t>
      </w:r>
      <w:r>
        <w:rPr>
          <w:bCs/>
          <w:lang w:val="en-GB"/>
        </w:rPr>
        <w:t xml:space="preserve">.  Investigating the effect of distal factors, such as education, as in our analysis provides an improvement over those projections because distal factors involve access to diverse resources like money, knowledge, power, prestige, social support and social network </w:t>
      </w:r>
      <w:r>
        <w:rPr>
          <w:bCs/>
          <w:noProof/>
          <w:lang w:val="en-GB"/>
        </w:rPr>
        <w:t>(Link &amp; Phelan, 1995)</w:t>
      </w:r>
      <w:r>
        <w:rPr>
          <w:bCs/>
          <w:lang w:val="en-GB"/>
        </w:rPr>
        <w:t xml:space="preserve"> and are associated with mortality via diverse mechanisms. To the best of our knowledge, only one study investigated this issue by estimating the contribution of improvements in women’s education on the reduction in child mortality in 175 countries over the past 40 years </w:t>
      </w:r>
      <w:r>
        <w:rPr>
          <w:bCs/>
          <w:noProof/>
          <w:lang w:val="en-GB"/>
        </w:rPr>
        <w:t>(Gakidou et al., 2010)</w:t>
      </w:r>
      <w:r>
        <w:rPr>
          <w:bCs/>
          <w:lang w:val="en-GB"/>
        </w:rPr>
        <w:t>. The authors concluded that the increase in the mean number of years of education between 1970 and 2009 had a considerable effect on mortality and could avert about 51% of deaths in children younger than 5 years.</w:t>
      </w:r>
    </w:p>
    <w:p w:rsidR="00E60955" w:rsidRDefault="00E60955" w:rsidP="00A117E5">
      <w:pPr>
        <w:spacing w:line="480" w:lineRule="auto"/>
        <w:ind w:firstLine="284"/>
        <w:jc w:val="both"/>
        <w:rPr>
          <w:bCs/>
          <w:lang w:val="en-GB"/>
        </w:rPr>
      </w:pPr>
      <w:r>
        <w:rPr>
          <w:bCs/>
          <w:lang w:val="en-GB"/>
        </w:rPr>
        <w:t xml:space="preserve"> In addition, some </w:t>
      </w:r>
      <w:r w:rsidRPr="00924C77">
        <w:rPr>
          <w:bCs/>
          <w:lang w:val="en-GB"/>
        </w:rPr>
        <w:t xml:space="preserve">recent </w:t>
      </w:r>
      <w:r>
        <w:rPr>
          <w:bCs/>
          <w:lang w:val="en-GB"/>
        </w:rPr>
        <w:t xml:space="preserve">studies estimated the effect of increasing education on health outcomes other than mortality and </w:t>
      </w:r>
      <w:r w:rsidRPr="00924C77">
        <w:rPr>
          <w:bCs/>
          <w:lang w:val="en-GB"/>
        </w:rPr>
        <w:t>provide</w:t>
      </w:r>
      <w:r>
        <w:rPr>
          <w:bCs/>
          <w:lang w:val="en-GB"/>
        </w:rPr>
        <w:t>d</w:t>
      </w:r>
      <w:r w:rsidRPr="00924C77">
        <w:rPr>
          <w:bCs/>
          <w:lang w:val="en-GB"/>
        </w:rPr>
        <w:t xml:space="preserve"> evidence that </w:t>
      </w:r>
      <w:r>
        <w:rPr>
          <w:bCs/>
          <w:lang w:val="en-GB"/>
        </w:rPr>
        <w:t xml:space="preserve">the changing </w:t>
      </w:r>
      <w:r w:rsidRPr="00924C77">
        <w:rPr>
          <w:bCs/>
          <w:lang w:val="en-GB"/>
        </w:rPr>
        <w:t xml:space="preserve">educational composition of the elderly population </w:t>
      </w:r>
      <w:r>
        <w:rPr>
          <w:bCs/>
          <w:lang w:val="en-GB"/>
        </w:rPr>
        <w:t xml:space="preserve">will lower the </w:t>
      </w:r>
      <w:r w:rsidRPr="00924C77">
        <w:rPr>
          <w:bCs/>
          <w:lang w:val="en-GB"/>
        </w:rPr>
        <w:t>prevalence of disability in the population</w:t>
      </w:r>
      <w:r>
        <w:rPr>
          <w:bCs/>
          <w:lang w:val="en-GB"/>
        </w:rPr>
        <w:t xml:space="preserve"> in the future</w:t>
      </w:r>
      <w:r w:rsidRPr="00924C77">
        <w:rPr>
          <w:bCs/>
          <w:lang w:val="en-GB"/>
        </w:rPr>
        <w:t xml:space="preserve"> </w:t>
      </w:r>
      <w:r>
        <w:rPr>
          <w:bCs/>
          <w:noProof/>
          <w:lang w:val="en-GB"/>
        </w:rPr>
        <w:t>(KC &amp; Lentzner, 2010; Lutz, 2009)</w:t>
      </w:r>
      <w:r w:rsidRPr="00924C77">
        <w:rPr>
          <w:bCs/>
          <w:lang w:val="en-GB"/>
        </w:rPr>
        <w:t xml:space="preserve">. The on-going improvements in educational attainment are therefore good news for population health, and may alleviate the </w:t>
      </w:r>
      <w:r>
        <w:rPr>
          <w:bCs/>
          <w:lang w:val="en-GB"/>
        </w:rPr>
        <w:t xml:space="preserve">expected social burden </w:t>
      </w:r>
      <w:r w:rsidRPr="00924C77">
        <w:rPr>
          <w:bCs/>
          <w:lang w:val="en-GB"/>
        </w:rPr>
        <w:t xml:space="preserve">of other demographic changes, such as </w:t>
      </w:r>
      <w:r>
        <w:rPr>
          <w:bCs/>
          <w:lang w:val="en-GB"/>
        </w:rPr>
        <w:t>population</w:t>
      </w:r>
      <w:r w:rsidRPr="00924C77">
        <w:rPr>
          <w:bCs/>
          <w:lang w:val="en-GB"/>
        </w:rPr>
        <w:t xml:space="preserve"> ageing</w:t>
      </w:r>
      <w:r>
        <w:rPr>
          <w:bCs/>
          <w:lang w:val="en-GB"/>
        </w:rPr>
        <w:t xml:space="preserve"> </w:t>
      </w:r>
      <w:r>
        <w:rPr>
          <w:bCs/>
          <w:noProof/>
          <w:lang w:val="en-GB"/>
        </w:rPr>
        <w:t>(Lutz, 2009; Lutz &amp; KC, 2011)</w:t>
      </w:r>
      <w:r w:rsidRPr="00924C77">
        <w:rPr>
          <w:bCs/>
          <w:lang w:val="en-GB"/>
        </w:rPr>
        <w:t xml:space="preserve">. </w:t>
      </w:r>
      <w:r>
        <w:rPr>
          <w:bCs/>
          <w:lang w:val="en-GB"/>
        </w:rPr>
        <w:t xml:space="preserve">Therefore, most of the current literature likely overestimates the impact of ageing on health, including mortality. </w:t>
      </w:r>
    </w:p>
    <w:p w:rsidR="00773981" w:rsidRPr="00924C77" w:rsidRDefault="00773981" w:rsidP="00A117E5">
      <w:pPr>
        <w:spacing w:line="480" w:lineRule="auto"/>
        <w:ind w:firstLine="284"/>
        <w:jc w:val="both"/>
        <w:rPr>
          <w:lang w:val="en-GB"/>
        </w:rPr>
      </w:pPr>
    </w:p>
    <w:p w:rsidR="00E60955" w:rsidRPr="00924C77" w:rsidRDefault="00E60955" w:rsidP="00A117E5">
      <w:pPr>
        <w:pStyle w:val="Caption"/>
        <w:keepNext/>
        <w:spacing w:line="480" w:lineRule="auto"/>
        <w:jc w:val="both"/>
        <w:rPr>
          <w:b w:val="0"/>
          <w:sz w:val="24"/>
          <w:szCs w:val="24"/>
          <w:lang w:val="en-GB"/>
        </w:rPr>
      </w:pPr>
      <w:r w:rsidRPr="00924C77">
        <w:rPr>
          <w:b w:val="0"/>
          <w:i/>
          <w:sz w:val="24"/>
          <w:szCs w:val="24"/>
          <w:lang w:val="en-GB"/>
        </w:rPr>
        <w:lastRenderedPageBreak/>
        <w:t>Conclusions</w:t>
      </w:r>
    </w:p>
    <w:p w:rsidR="00E60955" w:rsidRDefault="00E60955" w:rsidP="00A117E5">
      <w:pPr>
        <w:spacing w:line="480" w:lineRule="auto"/>
        <w:jc w:val="both"/>
        <w:rPr>
          <w:lang w:val="en-GB"/>
        </w:rPr>
      </w:pPr>
      <w:r w:rsidRPr="00924C77">
        <w:rPr>
          <w:lang w:val="en-GB"/>
        </w:rPr>
        <w:t xml:space="preserve">The effect of on-going improvements in educational attainment on average mortality in the population </w:t>
      </w:r>
      <w:r>
        <w:rPr>
          <w:lang w:val="en-GB"/>
        </w:rPr>
        <w:t>should not be overlooked. The magnitude of mortality reduction depends on the combination of the current population educational structure, the projected speed of future improvements in the population educational structure and the association between education and mortality. This should be taken into account in future mortality projections.</w:t>
      </w:r>
    </w:p>
    <w:p w:rsidR="00E60955" w:rsidRDefault="00E60955" w:rsidP="00A117E5">
      <w:pPr>
        <w:spacing w:line="480" w:lineRule="auto"/>
        <w:ind w:firstLine="284"/>
        <w:jc w:val="both"/>
        <w:rPr>
          <w:lang w:val="en-GB"/>
        </w:rPr>
      </w:pPr>
      <w:r>
        <w:rPr>
          <w:lang w:val="en-GB"/>
        </w:rPr>
        <w:t xml:space="preserve">The difference in mortality reduction observed between the upward levelling scenario and the cohort replacement scenario suggests that there is still a large potential for further health gains from educational improvements. Given the substantial benefits of increased educational attainment regarding population health, growth of human capital and economic development, this issue should be given high priority by policy-makers, and the long-term benefits of educational investments should be taken into account for future public policy planning. </w:t>
      </w:r>
    </w:p>
    <w:p w:rsidR="00E60955" w:rsidRPr="00924C77" w:rsidRDefault="00E60955" w:rsidP="00A117E5">
      <w:pPr>
        <w:spacing w:line="480" w:lineRule="auto"/>
        <w:ind w:firstLine="284"/>
        <w:jc w:val="both"/>
        <w:rPr>
          <w:lang w:val="en-GB"/>
        </w:rPr>
      </w:pPr>
      <w:r>
        <w:rPr>
          <w:lang w:val="en-GB"/>
        </w:rPr>
        <w:t>However, one should not forget that the educational health gradient results from important and well-documented mechanisms, such as differences in material conditions and health-related behaviours, which should also be targeted by policies and interventions. Increasing education is therefore not the only possible strategy to improve population health</w:t>
      </w:r>
      <w:r w:rsidR="00773981">
        <w:rPr>
          <w:lang w:val="en-GB"/>
        </w:rPr>
        <w:t xml:space="preserve">. </w:t>
      </w:r>
      <w:r>
        <w:rPr>
          <w:lang w:val="en-GB"/>
        </w:rPr>
        <w:t xml:space="preserve">This is fortunate because we will never be able to achieve a situation where everybody will be highly educated. The reason why less educated people are less healthy should be kept in mind and also tackled by policy action. </w:t>
      </w:r>
    </w:p>
    <w:p w:rsidR="00E60955" w:rsidRDefault="00E60955" w:rsidP="00A117E5">
      <w:pPr>
        <w:spacing w:line="480" w:lineRule="auto"/>
        <w:jc w:val="both"/>
        <w:rPr>
          <w:b/>
          <w:lang w:val="en-GB"/>
        </w:rPr>
      </w:pPr>
    </w:p>
    <w:p w:rsidR="00460B37" w:rsidRDefault="00460B37" w:rsidP="00460B37">
      <w:pPr>
        <w:spacing w:line="480" w:lineRule="auto"/>
        <w:jc w:val="both"/>
        <w:rPr>
          <w:b/>
          <w:lang w:val="en-GB"/>
        </w:rPr>
        <w:sectPr w:rsidR="00460B37" w:rsidSect="00A117E5">
          <w:pgSz w:w="11906" w:h="16838"/>
          <w:pgMar w:top="1418" w:right="1418" w:bottom="1418" w:left="1418" w:header="709" w:footer="709" w:gutter="0"/>
          <w:cols w:space="708"/>
          <w:docGrid w:linePitch="360"/>
        </w:sectPr>
      </w:pPr>
    </w:p>
    <w:p w:rsidR="00460B37" w:rsidRPr="006E06A6" w:rsidRDefault="00460B37" w:rsidP="00460B37">
      <w:pPr>
        <w:spacing w:line="480" w:lineRule="auto"/>
        <w:jc w:val="both"/>
        <w:rPr>
          <w:b/>
          <w:lang w:val="en-GB"/>
        </w:rPr>
      </w:pPr>
      <w:r w:rsidRPr="006E06A6">
        <w:rPr>
          <w:b/>
          <w:lang w:val="en-GB"/>
        </w:rPr>
        <w:lastRenderedPageBreak/>
        <w:t>Funding</w:t>
      </w:r>
    </w:p>
    <w:p w:rsidR="00460B37" w:rsidRPr="006E06A6" w:rsidRDefault="00460B37" w:rsidP="00460B37">
      <w:pPr>
        <w:pStyle w:val="bodytext"/>
        <w:shd w:val="clear" w:color="auto" w:fill="FFFFFF"/>
        <w:spacing w:after="0" w:line="480" w:lineRule="auto"/>
        <w:jc w:val="both"/>
        <w:rPr>
          <w:color w:val="000000"/>
          <w:sz w:val="24"/>
          <w:szCs w:val="24"/>
          <w:shd w:val="clear" w:color="auto" w:fill="FFFFFF"/>
          <w:lang w:val="en-US"/>
        </w:rPr>
      </w:pPr>
      <w:r w:rsidRPr="006E06A6">
        <w:rPr>
          <w:color w:val="000000"/>
          <w:sz w:val="24"/>
          <w:szCs w:val="24"/>
          <w:shd w:val="clear" w:color="auto" w:fill="FFFFFF"/>
          <w:lang w:val="en-US"/>
        </w:rPr>
        <w:t>The project was funded by the European Commission through the Public Health Programme  (grant agreement 20081309), and the Netherlands Organization for Health Research and Development (ZonMw, project number 121020026).</w:t>
      </w:r>
      <w:r>
        <w:rPr>
          <w:color w:val="000000"/>
          <w:sz w:val="24"/>
          <w:szCs w:val="24"/>
          <w:shd w:val="clear" w:color="auto" w:fill="FFFFFF"/>
          <w:lang w:val="en-US"/>
        </w:rPr>
        <w:t xml:space="preserve"> The funding organizations had no role in study design, data collection and analysis, decision to publish, or preparation of the manuscript. </w:t>
      </w:r>
    </w:p>
    <w:p w:rsidR="00460B37" w:rsidRPr="009E0B0F" w:rsidRDefault="00460B37" w:rsidP="00460B37">
      <w:pPr>
        <w:spacing w:line="480" w:lineRule="auto"/>
        <w:jc w:val="both"/>
        <w:rPr>
          <w:lang w:val="en-US"/>
        </w:rPr>
      </w:pPr>
    </w:p>
    <w:p w:rsidR="00460B37" w:rsidRPr="006E06A6" w:rsidRDefault="00460B37" w:rsidP="00460B37">
      <w:pPr>
        <w:spacing w:line="480" w:lineRule="auto"/>
        <w:jc w:val="both"/>
        <w:rPr>
          <w:b/>
          <w:lang w:val="en-GB"/>
        </w:rPr>
      </w:pPr>
      <w:r w:rsidRPr="006E06A6">
        <w:rPr>
          <w:b/>
          <w:lang w:val="en-GB"/>
        </w:rPr>
        <w:t>Acknowledgements</w:t>
      </w:r>
    </w:p>
    <w:p w:rsidR="00460B37" w:rsidRPr="006E06A6" w:rsidRDefault="00460B37" w:rsidP="00460B37">
      <w:pPr>
        <w:spacing w:line="480" w:lineRule="auto"/>
        <w:jc w:val="both"/>
        <w:rPr>
          <w:lang w:val="en-GB"/>
        </w:rPr>
      </w:pPr>
      <w:r w:rsidRPr="006E06A6">
        <w:rPr>
          <w:lang w:val="en-GB"/>
        </w:rPr>
        <w:t>We thank the EURO-GBD-SE international project partners who supplied the mortality data: Annibale Biggeri (Tuscany</w:t>
      </w:r>
      <w:r>
        <w:rPr>
          <w:lang w:val="en-GB"/>
        </w:rPr>
        <w:t>, Italy)</w:t>
      </w:r>
      <w:r w:rsidRPr="006E06A6">
        <w:rPr>
          <w:lang w:val="en-GB"/>
        </w:rPr>
        <w:t>, Matthias Bopp (Switzerland),</w:t>
      </w:r>
      <w:r>
        <w:rPr>
          <w:lang w:val="en-GB"/>
        </w:rPr>
        <w:t xml:space="preserve"> </w:t>
      </w:r>
      <w:r w:rsidRPr="006E06A6">
        <w:rPr>
          <w:lang w:val="en-GB"/>
        </w:rPr>
        <w:t>Carme Borrell</w:t>
      </w:r>
      <w:r>
        <w:rPr>
          <w:lang w:val="en-GB"/>
        </w:rPr>
        <w:t xml:space="preserve"> (Barcelona, Spain), Lynsey Brown (England and Wales), </w:t>
      </w:r>
      <w:r w:rsidRPr="006E06A6">
        <w:rPr>
          <w:lang w:val="en-GB"/>
        </w:rPr>
        <w:t>Giuseppe Costa (Turin</w:t>
      </w:r>
      <w:r>
        <w:rPr>
          <w:lang w:val="en-GB"/>
        </w:rPr>
        <w:t>, Italy</w:t>
      </w:r>
      <w:r w:rsidRPr="006E06A6">
        <w:rPr>
          <w:lang w:val="en-GB"/>
        </w:rPr>
        <w:t>),</w:t>
      </w:r>
      <w:r>
        <w:rPr>
          <w:lang w:val="en-GB"/>
        </w:rPr>
        <w:t xml:space="preserve"> </w:t>
      </w:r>
      <w:r w:rsidRPr="006E06A6">
        <w:rPr>
          <w:lang w:val="en-GB"/>
        </w:rPr>
        <w:t>Patrick Deboosere (Belgium),</w:t>
      </w:r>
      <w:r>
        <w:rPr>
          <w:lang w:val="en-GB"/>
        </w:rPr>
        <w:t xml:space="preserve"> </w:t>
      </w:r>
      <w:r w:rsidRPr="006E06A6">
        <w:rPr>
          <w:lang w:val="en-GB"/>
        </w:rPr>
        <w:t>Chris Dibben (Scotland),</w:t>
      </w:r>
      <w:r>
        <w:rPr>
          <w:lang w:val="en-GB"/>
        </w:rPr>
        <w:t xml:space="preserve"> </w:t>
      </w:r>
      <w:r w:rsidRPr="006E06A6">
        <w:rPr>
          <w:lang w:val="en-GB"/>
        </w:rPr>
        <w:t>Santiago Esnaola (Basque Country</w:t>
      </w:r>
      <w:r>
        <w:rPr>
          <w:lang w:val="en-GB"/>
        </w:rPr>
        <w:t>, Spain</w:t>
      </w:r>
      <w:r w:rsidRPr="006E06A6">
        <w:rPr>
          <w:lang w:val="en-GB"/>
        </w:rPr>
        <w:t>),</w:t>
      </w:r>
      <w:r>
        <w:rPr>
          <w:lang w:val="en-GB"/>
        </w:rPr>
        <w:t xml:space="preserve"> </w:t>
      </w:r>
      <w:r w:rsidRPr="006E06A6">
        <w:rPr>
          <w:lang w:val="en-GB"/>
        </w:rPr>
        <w:t>Domantas Jasilionis (Lithuania),</w:t>
      </w:r>
      <w:r>
        <w:rPr>
          <w:lang w:val="en-GB"/>
        </w:rPr>
        <w:t xml:space="preserve"> Johannes Klotz (Austria), </w:t>
      </w:r>
      <w:r w:rsidRPr="006E06A6">
        <w:rPr>
          <w:lang w:val="en-GB"/>
        </w:rPr>
        <w:t>Katalin Kovacs (Hungary),</w:t>
      </w:r>
      <w:r>
        <w:rPr>
          <w:lang w:val="en-GB"/>
        </w:rPr>
        <w:t xml:space="preserve"> </w:t>
      </w:r>
      <w:r w:rsidRPr="006E06A6">
        <w:rPr>
          <w:lang w:val="en-GB"/>
        </w:rPr>
        <w:t>Anita Lange (Denmark),</w:t>
      </w:r>
      <w:r>
        <w:rPr>
          <w:lang w:val="en-GB"/>
        </w:rPr>
        <w:t xml:space="preserve"> </w:t>
      </w:r>
      <w:r w:rsidRPr="006E06A6">
        <w:rPr>
          <w:lang w:val="en-GB"/>
        </w:rPr>
        <w:t>Mall Leinsalu (Estonia),</w:t>
      </w:r>
      <w:r>
        <w:rPr>
          <w:lang w:val="en-GB"/>
        </w:rPr>
        <w:t xml:space="preserve"> </w:t>
      </w:r>
      <w:r w:rsidRPr="006E06A6">
        <w:rPr>
          <w:lang w:val="en-GB"/>
        </w:rPr>
        <w:t>Olle Lundberg (Sweden),</w:t>
      </w:r>
      <w:r>
        <w:rPr>
          <w:lang w:val="en-GB"/>
        </w:rPr>
        <w:t xml:space="preserve"> </w:t>
      </w:r>
      <w:r w:rsidRPr="006E06A6">
        <w:rPr>
          <w:lang w:val="en-GB"/>
        </w:rPr>
        <w:t>Pekka Martikainen (Finland),</w:t>
      </w:r>
      <w:r>
        <w:rPr>
          <w:lang w:val="en-GB"/>
        </w:rPr>
        <w:t xml:space="preserve"> </w:t>
      </w:r>
      <w:r w:rsidRPr="006E06A6">
        <w:rPr>
          <w:lang w:val="en-GB"/>
        </w:rPr>
        <w:t>Gwenn Menvielle (France), Enrique Regidor (Madrid</w:t>
      </w:r>
      <w:r>
        <w:rPr>
          <w:lang w:val="en-GB"/>
        </w:rPr>
        <w:t>, Spain</w:t>
      </w:r>
      <w:r w:rsidRPr="006E06A6">
        <w:rPr>
          <w:lang w:val="en-GB"/>
        </w:rPr>
        <w:t>), Maica Rodríguez-Sanz (Barcelona</w:t>
      </w:r>
      <w:r>
        <w:rPr>
          <w:lang w:val="en-GB"/>
        </w:rPr>
        <w:t>, Spain</w:t>
      </w:r>
      <w:r w:rsidRPr="006E06A6">
        <w:rPr>
          <w:lang w:val="en-GB"/>
        </w:rPr>
        <w:t>),</w:t>
      </w:r>
      <w:r>
        <w:rPr>
          <w:lang w:val="en-GB"/>
        </w:rPr>
        <w:t xml:space="preserve"> </w:t>
      </w:r>
      <w:r w:rsidRPr="006E06A6">
        <w:rPr>
          <w:lang w:val="en-GB"/>
        </w:rPr>
        <w:t xml:space="preserve">Jitka </w:t>
      </w:r>
      <w:r w:rsidRPr="006E06A6">
        <w:rPr>
          <w:rStyle w:val="Emphasis"/>
          <w:b w:val="0"/>
          <w:color w:val="222222"/>
          <w:lang w:val="en-GB"/>
        </w:rPr>
        <w:t>Rychtaříková</w:t>
      </w:r>
      <w:r w:rsidRPr="006E06A6">
        <w:rPr>
          <w:lang w:val="en-GB"/>
        </w:rPr>
        <w:t xml:space="preserve"> (Czech Republic),</w:t>
      </w:r>
      <w:r>
        <w:rPr>
          <w:lang w:val="en-GB"/>
        </w:rPr>
        <w:t xml:space="preserve"> </w:t>
      </w:r>
      <w:r w:rsidRPr="006E06A6">
        <w:rPr>
          <w:lang w:val="en-GB"/>
        </w:rPr>
        <w:t>Bjørn Heine Strand (Norway),</w:t>
      </w:r>
      <w:r>
        <w:rPr>
          <w:lang w:val="en-GB"/>
        </w:rPr>
        <w:t xml:space="preserve"> Chris White (England and Wales), </w:t>
      </w:r>
      <w:r w:rsidRPr="006E06A6">
        <w:rPr>
          <w:lang w:val="en-GB"/>
        </w:rPr>
        <w:t xml:space="preserve">Bogdan Wojtyniak (Poland).       </w:t>
      </w:r>
    </w:p>
    <w:p w:rsidR="00460B37" w:rsidRDefault="00460B37" w:rsidP="00A117E5">
      <w:pPr>
        <w:spacing w:line="480" w:lineRule="auto"/>
        <w:jc w:val="both"/>
        <w:rPr>
          <w:b/>
          <w:lang w:val="en-GB"/>
        </w:rPr>
      </w:pPr>
    </w:p>
    <w:p w:rsidR="00460B37" w:rsidRDefault="00460B37" w:rsidP="00A117E5">
      <w:pPr>
        <w:spacing w:line="480" w:lineRule="auto"/>
        <w:jc w:val="both"/>
        <w:rPr>
          <w:b/>
          <w:lang w:val="en-GB"/>
        </w:rPr>
      </w:pPr>
    </w:p>
    <w:p w:rsidR="00460B37" w:rsidRPr="00924C77" w:rsidRDefault="00460B37" w:rsidP="00A117E5">
      <w:pPr>
        <w:spacing w:line="480" w:lineRule="auto"/>
        <w:jc w:val="both"/>
        <w:rPr>
          <w:b/>
          <w:lang w:val="en-GB"/>
        </w:rPr>
        <w:sectPr w:rsidR="00460B37" w:rsidRPr="00924C77" w:rsidSect="00A117E5">
          <w:pgSz w:w="11906" w:h="16838"/>
          <w:pgMar w:top="1418" w:right="1418" w:bottom="1418" w:left="1418" w:header="709" w:footer="709" w:gutter="0"/>
          <w:cols w:space="708"/>
          <w:docGrid w:linePitch="360"/>
        </w:sectPr>
      </w:pPr>
    </w:p>
    <w:p w:rsidR="00E60955" w:rsidRPr="00924C77" w:rsidRDefault="00E60955" w:rsidP="00E614D4">
      <w:pPr>
        <w:spacing w:line="480" w:lineRule="auto"/>
        <w:jc w:val="both"/>
        <w:rPr>
          <w:b/>
          <w:lang w:val="es-ES_tradnl"/>
        </w:rPr>
      </w:pPr>
      <w:r w:rsidRPr="00924C77">
        <w:rPr>
          <w:b/>
          <w:lang w:val="es-ES_tradnl"/>
        </w:rPr>
        <w:lastRenderedPageBreak/>
        <w:t>References</w:t>
      </w:r>
    </w:p>
    <w:p w:rsidR="00E60955" w:rsidRPr="00097544" w:rsidRDefault="00E60955" w:rsidP="00E614D4">
      <w:pPr>
        <w:spacing w:line="480" w:lineRule="auto"/>
        <w:ind w:left="720" w:hanging="720"/>
        <w:jc w:val="both"/>
        <w:rPr>
          <w:noProof/>
          <w:lang w:val="es-ES_tradnl"/>
        </w:rPr>
      </w:pPr>
      <w:bookmarkStart w:id="1" w:name="_ENREF_1"/>
      <w:r w:rsidRPr="00097544">
        <w:rPr>
          <w:noProof/>
          <w:lang w:val="es-ES_tradnl"/>
        </w:rPr>
        <w:t xml:space="preserve">Albouy, V., &amp; Lequien, L. (2009). Does compulsory education lower mortality? </w:t>
      </w:r>
      <w:r w:rsidRPr="00097544">
        <w:rPr>
          <w:i/>
          <w:noProof/>
          <w:lang w:val="es-ES_tradnl"/>
        </w:rPr>
        <w:t xml:space="preserve">Journal of Health Economics, </w:t>
      </w:r>
      <w:r w:rsidRPr="00097544">
        <w:rPr>
          <w:noProof/>
          <w:lang w:val="es-ES_tradnl"/>
        </w:rPr>
        <w:t>28, 155-168.</w:t>
      </w:r>
      <w:bookmarkEnd w:id="1"/>
    </w:p>
    <w:p w:rsidR="00E60955" w:rsidRPr="00097544" w:rsidRDefault="00E60955" w:rsidP="00E614D4">
      <w:pPr>
        <w:spacing w:line="480" w:lineRule="auto"/>
        <w:ind w:left="720" w:hanging="720"/>
        <w:jc w:val="both"/>
        <w:rPr>
          <w:noProof/>
          <w:lang w:val="es-ES_tradnl"/>
        </w:rPr>
      </w:pPr>
      <w:bookmarkStart w:id="2" w:name="_ENREF_2"/>
      <w:r w:rsidRPr="00097544">
        <w:rPr>
          <w:noProof/>
          <w:lang w:val="es-ES_tradnl"/>
        </w:rPr>
        <w:t xml:space="preserve">Baker, D. W., Wolf, M. S., Feinglass, J., Thompson, J. A., Gazmararian, J. A., &amp; Huang, J. (2007). Health literacy and mortality among elderly persons. </w:t>
      </w:r>
      <w:r w:rsidRPr="00097544">
        <w:rPr>
          <w:i/>
          <w:noProof/>
          <w:lang w:val="es-ES_tradnl"/>
        </w:rPr>
        <w:t xml:space="preserve">Archives of Internal Medicine, </w:t>
      </w:r>
      <w:r w:rsidR="00356B11">
        <w:rPr>
          <w:noProof/>
          <w:lang w:val="es-ES_tradnl"/>
        </w:rPr>
        <w:t>167</w:t>
      </w:r>
      <w:r w:rsidRPr="00097544">
        <w:rPr>
          <w:noProof/>
          <w:lang w:val="es-ES_tradnl"/>
        </w:rPr>
        <w:t>, 1503-1509.</w:t>
      </w:r>
      <w:bookmarkEnd w:id="2"/>
    </w:p>
    <w:p w:rsidR="00E60955" w:rsidRPr="00097544" w:rsidRDefault="00E60955" w:rsidP="00E614D4">
      <w:pPr>
        <w:spacing w:line="480" w:lineRule="auto"/>
        <w:ind w:left="720" w:hanging="720"/>
        <w:jc w:val="both"/>
        <w:rPr>
          <w:noProof/>
          <w:lang w:val="es-ES_tradnl"/>
        </w:rPr>
      </w:pPr>
      <w:bookmarkStart w:id="3" w:name="_ENREF_3"/>
      <w:r w:rsidRPr="00097544">
        <w:rPr>
          <w:noProof/>
          <w:lang w:val="es-ES_tradnl"/>
        </w:rPr>
        <w:t xml:space="preserve">Barro, R. J., &amp; Lee, J. W. (2001). International data on educational attainment: updates and implications. </w:t>
      </w:r>
      <w:r w:rsidRPr="00097544">
        <w:rPr>
          <w:i/>
          <w:noProof/>
          <w:lang w:val="es-ES_tradnl"/>
        </w:rPr>
        <w:t xml:space="preserve">Oxford Economic Papers, </w:t>
      </w:r>
      <w:r w:rsidR="00356B11">
        <w:rPr>
          <w:noProof/>
          <w:lang w:val="es-ES_tradnl"/>
        </w:rPr>
        <w:t>53</w:t>
      </w:r>
      <w:r w:rsidRPr="00097544">
        <w:rPr>
          <w:noProof/>
          <w:lang w:val="es-ES_tradnl"/>
        </w:rPr>
        <w:t>, 541-563.</w:t>
      </w:r>
      <w:bookmarkEnd w:id="3"/>
    </w:p>
    <w:p w:rsidR="00E60955" w:rsidRPr="00097544" w:rsidRDefault="00E60955" w:rsidP="00E614D4">
      <w:pPr>
        <w:spacing w:line="480" w:lineRule="auto"/>
        <w:ind w:left="720" w:hanging="720"/>
        <w:jc w:val="both"/>
        <w:rPr>
          <w:noProof/>
          <w:lang w:val="es-ES_tradnl"/>
        </w:rPr>
      </w:pPr>
      <w:bookmarkStart w:id="4" w:name="_ENREF_4"/>
      <w:r w:rsidRPr="00097544">
        <w:rPr>
          <w:noProof/>
          <w:lang w:val="es-ES_tradnl"/>
        </w:rPr>
        <w:t xml:space="preserve">Blair, C., Gamson, D., Thorne, S., &amp; Baker, D. (2005). Rising mean IQ: Cognitive demand of mathematics education for young children, population exposure to formal schooling, and the neurobiology of the prefrontal cortex. </w:t>
      </w:r>
      <w:r w:rsidRPr="00097544">
        <w:rPr>
          <w:i/>
          <w:noProof/>
          <w:lang w:val="es-ES_tradnl"/>
        </w:rPr>
        <w:t xml:space="preserve">Intelligence, </w:t>
      </w:r>
      <w:r w:rsidRPr="00097544">
        <w:rPr>
          <w:noProof/>
          <w:lang w:val="es-ES_tradnl"/>
        </w:rPr>
        <w:t>33, 93-106.</w:t>
      </w:r>
      <w:bookmarkEnd w:id="4"/>
    </w:p>
    <w:p w:rsidR="00E60955" w:rsidRPr="00097544" w:rsidRDefault="00E60955" w:rsidP="00E614D4">
      <w:pPr>
        <w:spacing w:line="480" w:lineRule="auto"/>
        <w:ind w:left="720" w:hanging="720"/>
        <w:jc w:val="both"/>
        <w:rPr>
          <w:noProof/>
          <w:lang w:val="es-ES_tradnl"/>
        </w:rPr>
      </w:pPr>
      <w:bookmarkStart w:id="5" w:name="_ENREF_5"/>
      <w:r w:rsidRPr="00097544">
        <w:rPr>
          <w:noProof/>
          <w:lang w:val="es-ES_tradnl"/>
        </w:rPr>
        <w:t xml:space="preserve">Blane, D., Smith, G. D., &amp; Bartley, M. (1993). Social selection: what does it contribute to social class differences in health? </w:t>
      </w:r>
      <w:r w:rsidRPr="00097544">
        <w:rPr>
          <w:i/>
          <w:noProof/>
          <w:lang w:val="es-ES_tradnl"/>
        </w:rPr>
        <w:t xml:space="preserve">Sociology of Health and Illness, </w:t>
      </w:r>
      <w:r w:rsidRPr="00097544">
        <w:rPr>
          <w:noProof/>
          <w:lang w:val="es-ES_tradnl"/>
        </w:rPr>
        <w:t>15, 1-15.</w:t>
      </w:r>
      <w:bookmarkEnd w:id="5"/>
    </w:p>
    <w:p w:rsidR="00E60955" w:rsidRPr="00097544" w:rsidRDefault="00E60955" w:rsidP="00E614D4">
      <w:pPr>
        <w:spacing w:line="480" w:lineRule="auto"/>
        <w:ind w:left="720" w:hanging="720"/>
        <w:jc w:val="both"/>
        <w:rPr>
          <w:noProof/>
          <w:lang w:val="es-ES_tradnl"/>
        </w:rPr>
      </w:pPr>
      <w:bookmarkStart w:id="6" w:name="_ENREF_6"/>
      <w:r w:rsidRPr="00097544">
        <w:rPr>
          <w:noProof/>
          <w:lang w:val="es-ES_tradnl"/>
        </w:rPr>
        <w:t xml:space="preserve">Boli, J., Ramirez, F. O., &amp; Meyer, J. W. (1985). Explaining the Origins and Expansion of Mass Education. </w:t>
      </w:r>
      <w:r w:rsidRPr="00097544">
        <w:rPr>
          <w:i/>
          <w:noProof/>
          <w:lang w:val="es-ES_tradnl"/>
        </w:rPr>
        <w:t xml:space="preserve">Comparative Education Review, </w:t>
      </w:r>
      <w:r w:rsidRPr="00097544">
        <w:rPr>
          <w:noProof/>
          <w:lang w:val="es-ES_tradnl"/>
        </w:rPr>
        <w:t>29, 145-170.</w:t>
      </w:r>
      <w:bookmarkEnd w:id="6"/>
    </w:p>
    <w:p w:rsidR="00E60955" w:rsidRPr="00097544" w:rsidRDefault="00E60955" w:rsidP="00E614D4">
      <w:pPr>
        <w:spacing w:line="480" w:lineRule="auto"/>
        <w:ind w:left="720" w:hanging="720"/>
        <w:jc w:val="both"/>
        <w:rPr>
          <w:noProof/>
          <w:lang w:val="es-ES_tradnl"/>
        </w:rPr>
      </w:pPr>
      <w:bookmarkStart w:id="7" w:name="_ENREF_7"/>
      <w:r w:rsidRPr="00097544">
        <w:rPr>
          <w:noProof/>
          <w:lang w:val="es-ES_tradnl"/>
        </w:rPr>
        <w:t xml:space="preserve">Chandola, T., Clarke, P., Morris, J. N., &amp; Blane, D. (2006). Pathways between education and health: a causal modelling approach. </w:t>
      </w:r>
      <w:r w:rsidRPr="00097544">
        <w:rPr>
          <w:i/>
          <w:noProof/>
          <w:lang w:val="es-ES_tradnl"/>
        </w:rPr>
        <w:t>Journal o</w:t>
      </w:r>
      <w:r w:rsidR="006F6AAB">
        <w:rPr>
          <w:i/>
          <w:noProof/>
          <w:lang w:val="es-ES_tradnl"/>
        </w:rPr>
        <w:t>f the Royal Statistical Society.</w:t>
      </w:r>
      <w:r w:rsidRPr="00097544">
        <w:rPr>
          <w:i/>
          <w:noProof/>
          <w:lang w:val="es-ES_tradnl"/>
        </w:rPr>
        <w:t xml:space="preserve"> Series A (Statistics in Society), </w:t>
      </w:r>
      <w:r w:rsidRPr="00097544">
        <w:rPr>
          <w:noProof/>
          <w:lang w:val="es-ES_tradnl"/>
        </w:rPr>
        <w:t>169, 337-359.</w:t>
      </w:r>
      <w:bookmarkEnd w:id="7"/>
    </w:p>
    <w:p w:rsidR="00E60955" w:rsidRPr="00097544" w:rsidRDefault="00E60955" w:rsidP="00E614D4">
      <w:pPr>
        <w:spacing w:line="480" w:lineRule="auto"/>
        <w:ind w:left="720" w:hanging="720"/>
        <w:jc w:val="both"/>
        <w:rPr>
          <w:noProof/>
          <w:lang w:val="es-ES_tradnl"/>
        </w:rPr>
      </w:pPr>
      <w:bookmarkStart w:id="8" w:name="_ENREF_8"/>
      <w:r w:rsidRPr="00097544">
        <w:rPr>
          <w:noProof/>
          <w:lang w:val="es-ES_tradnl"/>
        </w:rPr>
        <w:t xml:space="preserve">Chen, C., Smith, P., &amp; Mustard, C. (2010). The prevalence of over-qualification and its association with health status among occupationally active new immigrants to Canada. </w:t>
      </w:r>
      <w:r w:rsidRPr="00097544">
        <w:rPr>
          <w:i/>
          <w:noProof/>
          <w:lang w:val="es-ES_tradnl"/>
        </w:rPr>
        <w:t xml:space="preserve">Ethnicity and Health, </w:t>
      </w:r>
      <w:r w:rsidRPr="00097544">
        <w:rPr>
          <w:noProof/>
          <w:lang w:val="es-ES_tradnl"/>
        </w:rPr>
        <w:t>15, 601-619.</w:t>
      </w:r>
      <w:bookmarkEnd w:id="8"/>
    </w:p>
    <w:p w:rsidR="00E60955" w:rsidRPr="00097544" w:rsidRDefault="00E60955" w:rsidP="00E614D4">
      <w:pPr>
        <w:spacing w:line="480" w:lineRule="auto"/>
        <w:ind w:left="720" w:hanging="720"/>
        <w:jc w:val="both"/>
        <w:rPr>
          <w:noProof/>
          <w:lang w:val="es-ES_tradnl"/>
        </w:rPr>
      </w:pPr>
      <w:bookmarkStart w:id="9" w:name="_ENREF_9"/>
      <w:r w:rsidRPr="00097544">
        <w:rPr>
          <w:noProof/>
          <w:lang w:val="es-ES_tradnl"/>
        </w:rPr>
        <w:t xml:space="preserve">Clark, D., &amp; Royer, H. (2013). The Effect of Education on Adult Mortality and Health: Evidence from Britain. </w:t>
      </w:r>
      <w:r w:rsidRPr="00097544">
        <w:rPr>
          <w:i/>
          <w:noProof/>
          <w:lang w:val="es-ES_tradnl"/>
        </w:rPr>
        <w:t xml:space="preserve">American Economic Review, </w:t>
      </w:r>
      <w:r w:rsidRPr="00097544">
        <w:rPr>
          <w:noProof/>
          <w:lang w:val="es-ES_tradnl"/>
        </w:rPr>
        <w:t>103, 2087-2120.</w:t>
      </w:r>
      <w:bookmarkEnd w:id="9"/>
    </w:p>
    <w:p w:rsidR="00E60955" w:rsidRPr="00097544" w:rsidRDefault="00E60955" w:rsidP="00E614D4">
      <w:pPr>
        <w:spacing w:line="480" w:lineRule="auto"/>
        <w:ind w:left="720" w:hanging="720"/>
        <w:jc w:val="both"/>
        <w:rPr>
          <w:noProof/>
          <w:lang w:val="es-ES_tradnl"/>
        </w:rPr>
      </w:pPr>
      <w:bookmarkStart w:id="10" w:name="_ENREF_10"/>
      <w:r w:rsidRPr="00097544">
        <w:rPr>
          <w:noProof/>
          <w:lang w:val="es-ES_tradnl"/>
        </w:rPr>
        <w:t xml:space="preserve">Cohen, D., &amp; Soto, M. (2007). Growth and human capital: good data, good results. </w:t>
      </w:r>
      <w:r w:rsidRPr="00097544">
        <w:rPr>
          <w:i/>
          <w:noProof/>
          <w:lang w:val="es-ES_tradnl"/>
        </w:rPr>
        <w:t>J</w:t>
      </w:r>
      <w:r w:rsidR="00356B11">
        <w:rPr>
          <w:i/>
          <w:noProof/>
          <w:lang w:val="es-ES_tradnl"/>
        </w:rPr>
        <w:t xml:space="preserve">ournal of Economic </w:t>
      </w:r>
      <w:r w:rsidRPr="00097544">
        <w:rPr>
          <w:i/>
          <w:noProof/>
          <w:lang w:val="es-ES_tradnl"/>
        </w:rPr>
        <w:t xml:space="preserve">Growth, </w:t>
      </w:r>
      <w:r w:rsidRPr="00097544">
        <w:rPr>
          <w:noProof/>
          <w:lang w:val="es-ES_tradnl"/>
        </w:rPr>
        <w:t>12, 51–76.</w:t>
      </w:r>
      <w:bookmarkEnd w:id="10"/>
    </w:p>
    <w:p w:rsidR="00E60955" w:rsidRPr="00097544" w:rsidRDefault="00E60955" w:rsidP="00E614D4">
      <w:pPr>
        <w:spacing w:line="480" w:lineRule="auto"/>
        <w:ind w:left="720" w:hanging="720"/>
        <w:jc w:val="both"/>
        <w:rPr>
          <w:noProof/>
          <w:lang w:val="es-ES_tradnl"/>
        </w:rPr>
      </w:pPr>
      <w:bookmarkStart w:id="11" w:name="_ENREF_11"/>
      <w:r w:rsidRPr="00097544">
        <w:rPr>
          <w:noProof/>
          <w:lang w:val="es-ES_tradnl"/>
        </w:rPr>
        <w:lastRenderedPageBreak/>
        <w:t xml:space="preserve">Craig, J. E. (1981). The Expansion of Education. </w:t>
      </w:r>
      <w:r w:rsidRPr="00097544">
        <w:rPr>
          <w:i/>
          <w:noProof/>
          <w:lang w:val="es-ES_tradnl"/>
        </w:rPr>
        <w:t xml:space="preserve">Review of Research in Education, </w:t>
      </w:r>
      <w:r w:rsidRPr="00097544">
        <w:rPr>
          <w:noProof/>
          <w:lang w:val="es-ES_tradnl"/>
        </w:rPr>
        <w:t>9, 151-213.</w:t>
      </w:r>
      <w:bookmarkEnd w:id="11"/>
    </w:p>
    <w:p w:rsidR="00E60955" w:rsidRPr="00097544" w:rsidRDefault="00E60955" w:rsidP="00E614D4">
      <w:pPr>
        <w:spacing w:line="480" w:lineRule="auto"/>
        <w:ind w:left="720" w:hanging="720"/>
        <w:jc w:val="both"/>
        <w:rPr>
          <w:noProof/>
          <w:lang w:val="es-ES_tradnl"/>
        </w:rPr>
      </w:pPr>
      <w:bookmarkStart w:id="12" w:name="_ENREF_12"/>
      <w:r w:rsidRPr="00097544">
        <w:rPr>
          <w:noProof/>
          <w:lang w:val="es-ES_tradnl"/>
        </w:rPr>
        <w:t xml:space="preserve">Cutler, D. M., &amp; Lleras-Muney, A. (2008). Education and health: evaluating theories and evidence. In R. F. Schoeni, J. S. House, G. A. Kaplan &amp; H. Pollack (Eds.), </w:t>
      </w:r>
      <w:r w:rsidRPr="00356B11">
        <w:rPr>
          <w:i/>
          <w:noProof/>
          <w:lang w:val="es-ES_tradnl"/>
        </w:rPr>
        <w:t>Making Americans healthier: social and economic policy as health policy</w:t>
      </w:r>
      <w:r w:rsidRPr="00097544">
        <w:rPr>
          <w:noProof/>
          <w:lang w:val="es-ES_tradnl"/>
        </w:rPr>
        <w:t xml:space="preserve"> </w:t>
      </w:r>
      <w:r w:rsidR="00356B11">
        <w:rPr>
          <w:noProof/>
          <w:lang w:val="es-ES_tradnl"/>
        </w:rPr>
        <w:t>(</w:t>
      </w:r>
      <w:r w:rsidRPr="00097544">
        <w:rPr>
          <w:noProof/>
          <w:lang w:val="es-ES_tradnl"/>
        </w:rPr>
        <w:t>pp. 29-60). New York: Russell Sage Foundation.</w:t>
      </w:r>
      <w:bookmarkEnd w:id="12"/>
    </w:p>
    <w:p w:rsidR="00E60955" w:rsidRPr="00097544" w:rsidRDefault="00E60955" w:rsidP="00E614D4">
      <w:pPr>
        <w:spacing w:line="480" w:lineRule="auto"/>
        <w:ind w:left="720" w:hanging="720"/>
        <w:jc w:val="both"/>
        <w:rPr>
          <w:noProof/>
          <w:lang w:val="es-ES_tradnl"/>
        </w:rPr>
      </w:pPr>
      <w:bookmarkStart w:id="13" w:name="_ENREF_13"/>
      <w:r w:rsidRPr="00097544">
        <w:rPr>
          <w:noProof/>
          <w:lang w:val="es-ES_tradnl"/>
        </w:rPr>
        <w:t xml:space="preserve">Darrow, L. A., &amp; Steenland, N. K. (2011). Confounding and bias in the attributable fraction. </w:t>
      </w:r>
      <w:r w:rsidRPr="00097544">
        <w:rPr>
          <w:i/>
          <w:noProof/>
          <w:lang w:val="es-ES_tradnl"/>
        </w:rPr>
        <w:t xml:space="preserve">Epidemiology, </w:t>
      </w:r>
      <w:r w:rsidRPr="00097544">
        <w:rPr>
          <w:noProof/>
          <w:lang w:val="es-ES_tradnl"/>
        </w:rPr>
        <w:t>22, 53-58.</w:t>
      </w:r>
      <w:bookmarkEnd w:id="13"/>
    </w:p>
    <w:p w:rsidR="00E60955" w:rsidRPr="00097544" w:rsidRDefault="00E60955" w:rsidP="00E614D4">
      <w:pPr>
        <w:spacing w:line="480" w:lineRule="auto"/>
        <w:ind w:left="720" w:hanging="720"/>
        <w:jc w:val="both"/>
        <w:rPr>
          <w:noProof/>
          <w:lang w:val="es-ES_tradnl"/>
        </w:rPr>
      </w:pPr>
      <w:bookmarkStart w:id="14" w:name="_ENREF_14"/>
      <w:r w:rsidRPr="00097544">
        <w:rPr>
          <w:noProof/>
          <w:lang w:val="es-ES_tradnl"/>
        </w:rPr>
        <w:t xml:space="preserve">Deboosere, P., Gadeyne, S., &amp; Oyen, H. V. (2009). The 1991–2004 Evolution in Life Expectancy by Educational Level in Belgium Based on Linked Census and Population Register Data / L'évolution de l'espérance de vie par niveau d'instruction en Belgique de 1991 à 2004 sur la base de données de recensement liées au registre de la population. </w:t>
      </w:r>
      <w:r w:rsidRPr="00097544">
        <w:rPr>
          <w:i/>
          <w:noProof/>
          <w:lang w:val="es-ES_tradnl"/>
        </w:rPr>
        <w:t xml:space="preserve">European Journal of Population / Revue Européenne de Démographie, </w:t>
      </w:r>
      <w:r w:rsidR="00356B11">
        <w:rPr>
          <w:noProof/>
          <w:lang w:val="es-ES_tradnl"/>
        </w:rPr>
        <w:t>25</w:t>
      </w:r>
      <w:r w:rsidRPr="00097544">
        <w:rPr>
          <w:noProof/>
          <w:lang w:val="es-ES_tradnl"/>
        </w:rPr>
        <w:t>, 175-196.</w:t>
      </w:r>
      <w:bookmarkEnd w:id="14"/>
    </w:p>
    <w:p w:rsidR="00E60955" w:rsidRPr="00097544" w:rsidRDefault="00E60955" w:rsidP="00E614D4">
      <w:pPr>
        <w:spacing w:line="480" w:lineRule="auto"/>
        <w:ind w:left="720" w:hanging="720"/>
        <w:jc w:val="both"/>
        <w:rPr>
          <w:noProof/>
          <w:lang w:val="es-ES_tradnl"/>
        </w:rPr>
      </w:pPr>
      <w:bookmarkStart w:id="15" w:name="_ENREF_15"/>
      <w:r w:rsidRPr="00097544">
        <w:rPr>
          <w:noProof/>
          <w:lang w:val="es-ES_tradnl"/>
        </w:rPr>
        <w:t xml:space="preserve">Dewalt, D. A., Berkman, N. D., Sheridan, S., Lohr, K. N., &amp; Pignone, M. P. (2004). Literacy and health outcomes: a systematic review of the literature. </w:t>
      </w:r>
      <w:r w:rsidRPr="00097544">
        <w:rPr>
          <w:i/>
          <w:noProof/>
          <w:lang w:val="es-ES_tradnl"/>
        </w:rPr>
        <w:t xml:space="preserve">Journal of General Internal Medicine, </w:t>
      </w:r>
      <w:r w:rsidR="00356B11">
        <w:rPr>
          <w:noProof/>
          <w:lang w:val="es-ES_tradnl"/>
        </w:rPr>
        <w:t>19</w:t>
      </w:r>
      <w:r w:rsidRPr="00097544">
        <w:rPr>
          <w:noProof/>
          <w:lang w:val="es-ES_tradnl"/>
        </w:rPr>
        <w:t>, 1228-1239.</w:t>
      </w:r>
      <w:bookmarkEnd w:id="15"/>
    </w:p>
    <w:p w:rsidR="00E60955" w:rsidRPr="00097544" w:rsidRDefault="00E60955" w:rsidP="00E614D4">
      <w:pPr>
        <w:spacing w:line="480" w:lineRule="auto"/>
        <w:ind w:left="720" w:hanging="720"/>
        <w:jc w:val="both"/>
        <w:rPr>
          <w:noProof/>
          <w:lang w:val="es-ES_tradnl"/>
        </w:rPr>
      </w:pPr>
      <w:bookmarkStart w:id="16" w:name="_ENREF_16"/>
      <w:r w:rsidRPr="00097544">
        <w:rPr>
          <w:noProof/>
          <w:lang w:val="es-ES_tradnl"/>
        </w:rPr>
        <w:t xml:space="preserve">Efron, B., &amp; Tibshirani, R. J. (1993). </w:t>
      </w:r>
      <w:r w:rsidRPr="00356B11">
        <w:rPr>
          <w:i/>
          <w:noProof/>
          <w:lang w:val="es-ES_tradnl"/>
        </w:rPr>
        <w:t>An Introduction to the Bootstrap.</w:t>
      </w:r>
      <w:r w:rsidRPr="00097544">
        <w:rPr>
          <w:noProof/>
          <w:lang w:val="es-ES_tradnl"/>
        </w:rPr>
        <w:t xml:space="preserve"> New York: Chapman and Hall.</w:t>
      </w:r>
      <w:bookmarkEnd w:id="16"/>
    </w:p>
    <w:p w:rsidR="00E60955" w:rsidRPr="00097544" w:rsidRDefault="00E60955" w:rsidP="00E614D4">
      <w:pPr>
        <w:spacing w:line="480" w:lineRule="auto"/>
        <w:ind w:left="720" w:hanging="720"/>
        <w:jc w:val="both"/>
        <w:rPr>
          <w:noProof/>
          <w:lang w:val="es-ES_tradnl"/>
        </w:rPr>
      </w:pPr>
      <w:bookmarkStart w:id="17" w:name="_ENREF_17"/>
      <w:r w:rsidRPr="00097544">
        <w:rPr>
          <w:noProof/>
          <w:lang w:val="es-ES_tradnl"/>
        </w:rPr>
        <w:t xml:space="preserve">Erikson, R. (2001). Why do graduates live longer? Education, occupation, family and mortality during the 1990s. In J. O. Jonsson &amp; C. Mills (Eds.), </w:t>
      </w:r>
      <w:r w:rsidRPr="00356B11">
        <w:rPr>
          <w:i/>
          <w:noProof/>
          <w:lang w:val="es-ES_tradnl"/>
        </w:rPr>
        <w:t xml:space="preserve">Cradle to grave: Life-course change in modern Sweden. </w:t>
      </w:r>
      <w:r w:rsidRPr="00097544">
        <w:rPr>
          <w:noProof/>
          <w:lang w:val="es-ES_tradnl"/>
        </w:rPr>
        <w:t>Durham: Sociologypress.</w:t>
      </w:r>
      <w:bookmarkEnd w:id="17"/>
    </w:p>
    <w:p w:rsidR="00356B11" w:rsidRDefault="00E60955" w:rsidP="00356B11">
      <w:pPr>
        <w:spacing w:line="480" w:lineRule="auto"/>
        <w:ind w:left="720" w:hanging="720"/>
        <w:jc w:val="both"/>
        <w:rPr>
          <w:noProof/>
          <w:lang w:val="es-ES_tradnl"/>
        </w:rPr>
      </w:pPr>
      <w:bookmarkStart w:id="18" w:name="_ENREF_18"/>
      <w:r w:rsidRPr="00097544">
        <w:rPr>
          <w:noProof/>
          <w:lang w:val="es-ES_tradnl"/>
        </w:rPr>
        <w:t>Eurostat. Eurostat Statistics Database. Population with tertiary education attainment by sex and age. Accessed in November 2013 from</w:t>
      </w:r>
      <w:r w:rsidR="00356B11">
        <w:rPr>
          <w:noProof/>
          <w:lang w:val="es-ES_tradnl"/>
        </w:rPr>
        <w:t>:</w:t>
      </w:r>
    </w:p>
    <w:p w:rsidR="00E60955" w:rsidRDefault="00460B37" w:rsidP="00356B11">
      <w:pPr>
        <w:spacing w:line="480" w:lineRule="auto"/>
        <w:ind w:left="720"/>
        <w:jc w:val="both"/>
        <w:rPr>
          <w:noProof/>
          <w:lang w:val="es-ES_tradnl"/>
        </w:rPr>
      </w:pPr>
      <w:hyperlink r:id="rId13" w:history="1">
        <w:r w:rsidR="00356B11" w:rsidRPr="003A702D">
          <w:rPr>
            <w:rStyle w:val="Hyperlink"/>
            <w:noProof/>
            <w:lang w:val="es-ES_tradnl"/>
          </w:rPr>
          <w:t>http://appsso.eurostat.ec.europa.eu/nui/show.do?dataset=edat_lfse_07&amp;lang=en</w:t>
        </w:r>
      </w:hyperlink>
      <w:r w:rsidR="00E60955" w:rsidRPr="00097544">
        <w:rPr>
          <w:noProof/>
          <w:lang w:val="es-ES_tradnl"/>
        </w:rPr>
        <w:t>.</w:t>
      </w:r>
      <w:bookmarkEnd w:id="18"/>
    </w:p>
    <w:p w:rsidR="00E60955" w:rsidRPr="00097544" w:rsidRDefault="00E60955" w:rsidP="00E614D4">
      <w:pPr>
        <w:spacing w:line="480" w:lineRule="auto"/>
        <w:ind w:left="720" w:hanging="720"/>
        <w:jc w:val="both"/>
        <w:rPr>
          <w:noProof/>
          <w:lang w:val="es-ES_tradnl"/>
        </w:rPr>
      </w:pPr>
      <w:bookmarkStart w:id="19" w:name="_ENREF_19"/>
      <w:r w:rsidRPr="00097544">
        <w:rPr>
          <w:noProof/>
          <w:lang w:val="es-ES_tradnl"/>
        </w:rPr>
        <w:lastRenderedPageBreak/>
        <w:t xml:space="preserve">Gakidou, E., Cowling, K., Lozano, R., &amp; Murray, C. J. L. (2010). Increased educational attainment and its effect on child mortality in 175 countries between 1970 and 2009: a systematic analysis. </w:t>
      </w:r>
      <w:r w:rsidRPr="00097544">
        <w:rPr>
          <w:i/>
          <w:noProof/>
          <w:lang w:val="es-ES_tradnl"/>
        </w:rPr>
        <w:t xml:space="preserve">The Lancet, </w:t>
      </w:r>
      <w:r w:rsidR="00356B11">
        <w:rPr>
          <w:noProof/>
          <w:lang w:val="es-ES_tradnl"/>
        </w:rPr>
        <w:t>376</w:t>
      </w:r>
      <w:r w:rsidRPr="00097544">
        <w:rPr>
          <w:noProof/>
          <w:lang w:val="es-ES_tradnl"/>
        </w:rPr>
        <w:t>, 959-974.</w:t>
      </w:r>
      <w:bookmarkEnd w:id="19"/>
    </w:p>
    <w:p w:rsidR="00E60955" w:rsidRPr="00097544" w:rsidRDefault="00E60955" w:rsidP="00E614D4">
      <w:pPr>
        <w:spacing w:line="480" w:lineRule="auto"/>
        <w:ind w:left="720" w:hanging="720"/>
        <w:jc w:val="both"/>
        <w:rPr>
          <w:noProof/>
          <w:lang w:val="es-ES_tradnl"/>
        </w:rPr>
      </w:pPr>
      <w:bookmarkStart w:id="20" w:name="_ENREF_20"/>
      <w:r w:rsidRPr="00097544">
        <w:rPr>
          <w:noProof/>
          <w:lang w:val="es-ES_tradnl"/>
        </w:rPr>
        <w:t xml:space="preserve">Green, A. (1999). Education and globalization in Europe and East Asia: convergent and divergent trends. </w:t>
      </w:r>
      <w:r w:rsidRPr="00097544">
        <w:rPr>
          <w:i/>
          <w:noProof/>
          <w:lang w:val="es-ES_tradnl"/>
        </w:rPr>
        <w:t xml:space="preserve">Journal of Education Policy, </w:t>
      </w:r>
      <w:r w:rsidRPr="00097544">
        <w:rPr>
          <w:noProof/>
          <w:lang w:val="es-ES_tradnl"/>
        </w:rPr>
        <w:t>14, 55-71.</w:t>
      </w:r>
      <w:bookmarkEnd w:id="20"/>
    </w:p>
    <w:p w:rsidR="00E60955" w:rsidRPr="00097544" w:rsidRDefault="00E60955" w:rsidP="00E614D4">
      <w:pPr>
        <w:spacing w:line="480" w:lineRule="auto"/>
        <w:ind w:left="720" w:hanging="720"/>
        <w:jc w:val="both"/>
        <w:rPr>
          <w:noProof/>
          <w:lang w:val="es-ES_tradnl"/>
        </w:rPr>
      </w:pPr>
      <w:bookmarkStart w:id="21" w:name="_ENREF_21"/>
      <w:r w:rsidRPr="00097544">
        <w:rPr>
          <w:noProof/>
          <w:lang w:val="es-ES_tradnl"/>
        </w:rPr>
        <w:t xml:space="preserve">Herbert, R., &amp; Landrigan, P. J. (2000). Work-related death: a continuing epidemic. </w:t>
      </w:r>
      <w:r w:rsidRPr="00097544">
        <w:rPr>
          <w:i/>
          <w:noProof/>
          <w:lang w:val="es-ES_tradnl"/>
        </w:rPr>
        <w:t xml:space="preserve">American Journal of Public Health, </w:t>
      </w:r>
      <w:r w:rsidRPr="00097544">
        <w:rPr>
          <w:noProof/>
          <w:lang w:val="es-ES_tradnl"/>
        </w:rPr>
        <w:t>90, 541-545.</w:t>
      </w:r>
      <w:bookmarkEnd w:id="21"/>
    </w:p>
    <w:p w:rsidR="00E60955" w:rsidRPr="00097544" w:rsidRDefault="00E60955" w:rsidP="00E614D4">
      <w:pPr>
        <w:spacing w:line="480" w:lineRule="auto"/>
        <w:ind w:left="720" w:hanging="720"/>
        <w:jc w:val="both"/>
        <w:rPr>
          <w:noProof/>
          <w:lang w:val="es-ES_tradnl"/>
        </w:rPr>
      </w:pPr>
      <w:bookmarkStart w:id="22" w:name="_ENREF_22"/>
      <w:r w:rsidRPr="00097544">
        <w:rPr>
          <w:noProof/>
          <w:lang w:val="es-ES_tradnl"/>
        </w:rPr>
        <w:t xml:space="preserve">Hoffmann, R. (2011). Socioeconomic inequalities in old-age mortality: a comparison of Denmark and the USA. </w:t>
      </w:r>
      <w:r w:rsidRPr="00097544">
        <w:rPr>
          <w:i/>
          <w:noProof/>
          <w:lang w:val="es-ES_tradnl"/>
        </w:rPr>
        <w:t xml:space="preserve">Social Science </w:t>
      </w:r>
      <w:r w:rsidR="001919F3">
        <w:rPr>
          <w:i/>
          <w:noProof/>
          <w:lang w:val="es-ES_tradnl"/>
        </w:rPr>
        <w:t>&amp;</w:t>
      </w:r>
      <w:r w:rsidRPr="00097544">
        <w:rPr>
          <w:i/>
          <w:noProof/>
          <w:lang w:val="es-ES_tradnl"/>
        </w:rPr>
        <w:t xml:space="preserve"> Medicine, </w:t>
      </w:r>
      <w:r w:rsidRPr="00097544">
        <w:rPr>
          <w:noProof/>
          <w:lang w:val="es-ES_tradnl"/>
        </w:rPr>
        <w:t>72, 1986-1992.</w:t>
      </w:r>
      <w:bookmarkEnd w:id="22"/>
    </w:p>
    <w:p w:rsidR="00E60955" w:rsidRPr="00097544" w:rsidRDefault="00E60955" w:rsidP="00E614D4">
      <w:pPr>
        <w:spacing w:line="480" w:lineRule="auto"/>
        <w:ind w:left="720" w:hanging="720"/>
        <w:jc w:val="both"/>
        <w:rPr>
          <w:noProof/>
          <w:lang w:val="es-ES_tradnl"/>
        </w:rPr>
      </w:pPr>
      <w:bookmarkStart w:id="23" w:name="_ENREF_23"/>
      <w:r w:rsidRPr="00097544">
        <w:rPr>
          <w:noProof/>
          <w:lang w:val="es-ES_tradnl"/>
        </w:rPr>
        <w:t xml:space="preserve">Huisman, M., Kunst, A. E., Bopp, M., Borgan, J. K., Borrell, C., Costa, G., et al. (2005). Educational inequalities in cause-specific mortality in middle-aged and older men and women in eight western European populations. </w:t>
      </w:r>
      <w:r w:rsidR="00356B11" w:rsidRPr="00356B11">
        <w:rPr>
          <w:i/>
          <w:noProof/>
          <w:lang w:val="es-ES_tradnl"/>
        </w:rPr>
        <w:t xml:space="preserve">The </w:t>
      </w:r>
      <w:r w:rsidRPr="00097544">
        <w:rPr>
          <w:i/>
          <w:noProof/>
          <w:lang w:val="es-ES_tradnl"/>
        </w:rPr>
        <w:t xml:space="preserve">Lancet, </w:t>
      </w:r>
      <w:r w:rsidR="00356B11">
        <w:rPr>
          <w:noProof/>
          <w:lang w:val="es-ES_tradnl"/>
        </w:rPr>
        <w:t>365</w:t>
      </w:r>
      <w:r w:rsidRPr="00097544">
        <w:rPr>
          <w:noProof/>
          <w:lang w:val="es-ES_tradnl"/>
        </w:rPr>
        <w:t>, 493-500.</w:t>
      </w:r>
      <w:bookmarkEnd w:id="23"/>
    </w:p>
    <w:p w:rsidR="00E60955" w:rsidRPr="00097544" w:rsidRDefault="00E60955" w:rsidP="00E614D4">
      <w:pPr>
        <w:spacing w:line="480" w:lineRule="auto"/>
        <w:ind w:left="720" w:hanging="720"/>
        <w:jc w:val="both"/>
        <w:rPr>
          <w:noProof/>
          <w:lang w:val="es-ES_tradnl"/>
        </w:rPr>
      </w:pPr>
      <w:bookmarkStart w:id="24" w:name="_ENREF_24"/>
      <w:r w:rsidRPr="00097544">
        <w:rPr>
          <w:noProof/>
          <w:lang w:val="es-ES_tradnl"/>
        </w:rPr>
        <w:t xml:space="preserve">Hummer, R. A., Rogers, R. G., &amp; Eberstein, I. W. (1998). Sociodemographic Differentials in Adult Mortality: A Review of Analytic Approaches. </w:t>
      </w:r>
      <w:r w:rsidRPr="00097544">
        <w:rPr>
          <w:i/>
          <w:noProof/>
          <w:lang w:val="es-ES_tradnl"/>
        </w:rPr>
        <w:t xml:space="preserve">Population and Development Review, </w:t>
      </w:r>
      <w:r w:rsidRPr="00097544">
        <w:rPr>
          <w:noProof/>
          <w:lang w:val="es-ES_tradnl"/>
        </w:rPr>
        <w:t>24, 553-578.</w:t>
      </w:r>
      <w:bookmarkEnd w:id="24"/>
    </w:p>
    <w:p w:rsidR="00E60955" w:rsidRPr="00097544" w:rsidRDefault="00E60955" w:rsidP="00E614D4">
      <w:pPr>
        <w:spacing w:line="480" w:lineRule="auto"/>
        <w:ind w:left="720" w:hanging="720"/>
        <w:jc w:val="both"/>
        <w:rPr>
          <w:noProof/>
          <w:lang w:val="es-ES_tradnl"/>
        </w:rPr>
      </w:pPr>
      <w:bookmarkStart w:id="25" w:name="_ENREF_25"/>
      <w:r w:rsidRPr="00097544">
        <w:rPr>
          <w:noProof/>
          <w:lang w:val="es-ES_tradnl"/>
        </w:rPr>
        <w:t xml:space="preserve">KC, S., &amp; Lentzner, H. (2010). The effect of education on adult mortality and disability: a global perspective. </w:t>
      </w:r>
      <w:r w:rsidRPr="00097544">
        <w:rPr>
          <w:i/>
          <w:noProof/>
          <w:lang w:val="es-ES_tradnl"/>
        </w:rPr>
        <w:t xml:space="preserve">Vienna Yearbook of Population Research, </w:t>
      </w:r>
      <w:r w:rsidRPr="00097544">
        <w:rPr>
          <w:noProof/>
          <w:lang w:val="es-ES_tradnl"/>
        </w:rPr>
        <w:t>8, 201-235.</w:t>
      </w:r>
      <w:bookmarkEnd w:id="25"/>
    </w:p>
    <w:p w:rsidR="00E60955" w:rsidRPr="00097544" w:rsidRDefault="00E60955" w:rsidP="00E614D4">
      <w:pPr>
        <w:spacing w:line="480" w:lineRule="auto"/>
        <w:ind w:left="720" w:hanging="720"/>
        <w:jc w:val="both"/>
        <w:rPr>
          <w:noProof/>
          <w:lang w:val="es-ES_tradnl"/>
        </w:rPr>
      </w:pPr>
      <w:bookmarkStart w:id="26" w:name="_ENREF_26"/>
      <w:r w:rsidRPr="00097544">
        <w:rPr>
          <w:noProof/>
          <w:lang w:val="es-ES_tradnl"/>
        </w:rPr>
        <w:t xml:space="preserve">Kilander, L., Berglund, L., Boberg, M., Vessby, B., &amp; Lithell, H. (2001). Education, lifestyle factors and mortality from cardiovascular disease and cancer. A 25-year follow-up of Swedish 50-year-old men. </w:t>
      </w:r>
      <w:r w:rsidRPr="00097544">
        <w:rPr>
          <w:i/>
          <w:noProof/>
          <w:lang w:val="es-ES_tradnl"/>
        </w:rPr>
        <w:t xml:space="preserve">International Journal of Epidemiology, </w:t>
      </w:r>
      <w:r w:rsidRPr="00097544">
        <w:rPr>
          <w:noProof/>
          <w:lang w:val="es-ES_tradnl"/>
        </w:rPr>
        <w:t>30, 1119-1126.</w:t>
      </w:r>
      <w:bookmarkEnd w:id="26"/>
    </w:p>
    <w:p w:rsidR="00E60955" w:rsidRPr="00097544" w:rsidRDefault="00E60955" w:rsidP="00E614D4">
      <w:pPr>
        <w:spacing w:line="480" w:lineRule="auto"/>
        <w:ind w:left="720" w:hanging="720"/>
        <w:jc w:val="both"/>
        <w:rPr>
          <w:noProof/>
          <w:lang w:val="es-ES_tradnl"/>
        </w:rPr>
      </w:pPr>
      <w:bookmarkStart w:id="27" w:name="_ENREF_27"/>
      <w:r w:rsidRPr="00097544">
        <w:rPr>
          <w:noProof/>
          <w:lang w:val="es-ES_tradnl"/>
        </w:rPr>
        <w:t xml:space="preserve">Lager, A. C., &amp; Torssander, J. (2012). Causal effect of education on mortality in a quasi-experiment on 1.2 million Swedes. </w:t>
      </w:r>
      <w:r w:rsidRPr="00097544">
        <w:rPr>
          <w:i/>
          <w:noProof/>
          <w:lang w:val="es-ES_tradnl"/>
        </w:rPr>
        <w:t xml:space="preserve">Proceedings of the National Academy of Sciences of the United States of America, </w:t>
      </w:r>
      <w:r w:rsidR="00061ACB">
        <w:rPr>
          <w:noProof/>
          <w:lang w:val="es-ES_tradnl"/>
        </w:rPr>
        <w:t>109</w:t>
      </w:r>
      <w:r w:rsidRPr="00097544">
        <w:rPr>
          <w:noProof/>
          <w:lang w:val="es-ES_tradnl"/>
        </w:rPr>
        <w:t>, 8461-8466.</w:t>
      </w:r>
      <w:bookmarkEnd w:id="27"/>
    </w:p>
    <w:p w:rsidR="00E60955" w:rsidRPr="00097544" w:rsidRDefault="00E60955" w:rsidP="00E614D4">
      <w:pPr>
        <w:spacing w:line="480" w:lineRule="auto"/>
        <w:ind w:left="720" w:hanging="720"/>
        <w:jc w:val="both"/>
        <w:rPr>
          <w:noProof/>
          <w:lang w:val="es-ES_tradnl"/>
        </w:rPr>
      </w:pPr>
      <w:bookmarkStart w:id="28" w:name="_ENREF_28"/>
      <w:r w:rsidRPr="00097544">
        <w:rPr>
          <w:noProof/>
          <w:lang w:val="es-ES_tradnl"/>
        </w:rPr>
        <w:t xml:space="preserve">Link, B. G., &amp; Phelan, J. (1995). Social Conditions As Fundamental Causes of Disease. </w:t>
      </w:r>
      <w:r w:rsidRPr="00097544">
        <w:rPr>
          <w:i/>
          <w:noProof/>
          <w:lang w:val="es-ES_tradnl"/>
        </w:rPr>
        <w:t xml:space="preserve">Journal of Health and Social Behavior, </w:t>
      </w:r>
      <w:r w:rsidRPr="00097544">
        <w:rPr>
          <w:noProof/>
          <w:lang w:val="es-ES_tradnl"/>
        </w:rPr>
        <w:t>35</w:t>
      </w:r>
      <w:r w:rsidR="00D0419D">
        <w:rPr>
          <w:noProof/>
          <w:lang w:val="es-ES_tradnl"/>
        </w:rPr>
        <w:t xml:space="preserve">, </w:t>
      </w:r>
      <w:r w:rsidRPr="00097544">
        <w:rPr>
          <w:noProof/>
          <w:lang w:val="es-ES_tradnl"/>
        </w:rPr>
        <w:t>80-94.</w:t>
      </w:r>
      <w:bookmarkEnd w:id="28"/>
    </w:p>
    <w:p w:rsidR="00E60955" w:rsidRPr="00097544" w:rsidRDefault="00E60955" w:rsidP="00E614D4">
      <w:pPr>
        <w:spacing w:line="480" w:lineRule="auto"/>
        <w:ind w:left="720" w:hanging="720"/>
        <w:jc w:val="both"/>
        <w:rPr>
          <w:noProof/>
          <w:lang w:val="es-ES_tradnl"/>
        </w:rPr>
      </w:pPr>
      <w:bookmarkStart w:id="29" w:name="_ENREF_29"/>
      <w:r w:rsidRPr="00097544">
        <w:rPr>
          <w:noProof/>
          <w:lang w:val="es-ES_tradnl"/>
        </w:rPr>
        <w:lastRenderedPageBreak/>
        <w:t xml:space="preserve">Lleras-Muney, A. (2005). The Relationship between Education and Adult Mortality in the United States. </w:t>
      </w:r>
      <w:r w:rsidRPr="00097544">
        <w:rPr>
          <w:i/>
          <w:noProof/>
          <w:lang w:val="es-ES_tradnl"/>
        </w:rPr>
        <w:t xml:space="preserve">The Review of Economic Studies, </w:t>
      </w:r>
      <w:r w:rsidRPr="00097544">
        <w:rPr>
          <w:noProof/>
          <w:lang w:val="es-ES_tradnl"/>
        </w:rPr>
        <w:t>72, 189-221.</w:t>
      </w:r>
      <w:bookmarkEnd w:id="29"/>
    </w:p>
    <w:p w:rsidR="00E60955" w:rsidRPr="00097544" w:rsidRDefault="00E60955" w:rsidP="00E614D4">
      <w:pPr>
        <w:spacing w:line="480" w:lineRule="auto"/>
        <w:ind w:left="720" w:hanging="720"/>
        <w:jc w:val="both"/>
        <w:rPr>
          <w:noProof/>
          <w:lang w:val="es-ES_tradnl"/>
        </w:rPr>
      </w:pPr>
      <w:bookmarkStart w:id="30" w:name="_ENREF_30"/>
      <w:r w:rsidRPr="00097544">
        <w:rPr>
          <w:noProof/>
          <w:lang w:val="es-ES_tradnl"/>
        </w:rPr>
        <w:t xml:space="preserve">Lundberg, O. (1991). Childhood Living Conditions, Health Status, and Social Mobility: A Contribution to the Health Selection Debate. </w:t>
      </w:r>
      <w:r w:rsidRPr="00097544">
        <w:rPr>
          <w:i/>
          <w:noProof/>
          <w:lang w:val="es-ES_tradnl"/>
        </w:rPr>
        <w:t xml:space="preserve">European Sociological Review, </w:t>
      </w:r>
      <w:r w:rsidRPr="00097544">
        <w:rPr>
          <w:noProof/>
          <w:lang w:val="es-ES_tradnl"/>
        </w:rPr>
        <w:t>7, 149-162.</w:t>
      </w:r>
      <w:bookmarkEnd w:id="30"/>
    </w:p>
    <w:p w:rsidR="00E60955" w:rsidRPr="00097544" w:rsidRDefault="00E60955" w:rsidP="00E614D4">
      <w:pPr>
        <w:spacing w:line="480" w:lineRule="auto"/>
        <w:ind w:left="720" w:hanging="720"/>
        <w:jc w:val="both"/>
        <w:rPr>
          <w:noProof/>
          <w:lang w:val="es-ES_tradnl"/>
        </w:rPr>
      </w:pPr>
      <w:bookmarkStart w:id="31" w:name="_ENREF_31"/>
      <w:r w:rsidRPr="00097544">
        <w:rPr>
          <w:noProof/>
          <w:lang w:val="es-ES_tradnl"/>
        </w:rPr>
        <w:t xml:space="preserve">Lutz, W. (2009). The Demography of Future Global Population Aging: Indicators, Uncertainty, and Educational Composition. </w:t>
      </w:r>
      <w:r w:rsidRPr="00097544">
        <w:rPr>
          <w:i/>
          <w:noProof/>
          <w:lang w:val="es-ES_tradnl"/>
        </w:rPr>
        <w:t xml:space="preserve">Population and Development Review, </w:t>
      </w:r>
      <w:r w:rsidR="001919F3">
        <w:rPr>
          <w:noProof/>
          <w:lang w:val="es-ES_tradnl"/>
        </w:rPr>
        <w:t>35</w:t>
      </w:r>
      <w:r w:rsidRPr="00097544">
        <w:rPr>
          <w:noProof/>
          <w:lang w:val="es-ES_tradnl"/>
        </w:rPr>
        <w:t>, 357-365.</w:t>
      </w:r>
      <w:bookmarkEnd w:id="31"/>
    </w:p>
    <w:p w:rsidR="00E60955" w:rsidRPr="00097544" w:rsidRDefault="00E60955" w:rsidP="00E614D4">
      <w:pPr>
        <w:spacing w:line="480" w:lineRule="auto"/>
        <w:ind w:left="720" w:hanging="720"/>
        <w:jc w:val="both"/>
        <w:rPr>
          <w:noProof/>
          <w:lang w:val="es-ES_tradnl"/>
        </w:rPr>
      </w:pPr>
      <w:bookmarkStart w:id="32" w:name="_ENREF_32"/>
      <w:r w:rsidRPr="00097544">
        <w:rPr>
          <w:noProof/>
          <w:lang w:val="es-ES_tradnl"/>
        </w:rPr>
        <w:t xml:space="preserve">Lutz, W., Goujon, A., &amp; Doblhammer-Reiter, G. (1998). Demographic Dimensions in Forecasting: Adding Education to Age and Sex. </w:t>
      </w:r>
      <w:r w:rsidRPr="00097544">
        <w:rPr>
          <w:i/>
          <w:noProof/>
          <w:lang w:val="es-ES_tradnl"/>
        </w:rPr>
        <w:t xml:space="preserve">Population and Development Review, </w:t>
      </w:r>
      <w:r w:rsidRPr="00097544">
        <w:rPr>
          <w:noProof/>
          <w:lang w:val="es-ES_tradnl"/>
        </w:rPr>
        <w:t>24</w:t>
      </w:r>
      <w:r w:rsidR="001919F3">
        <w:rPr>
          <w:noProof/>
          <w:lang w:val="es-ES_tradnl"/>
        </w:rPr>
        <w:t xml:space="preserve">, </w:t>
      </w:r>
      <w:r w:rsidRPr="00097544">
        <w:rPr>
          <w:noProof/>
          <w:lang w:val="es-ES_tradnl"/>
        </w:rPr>
        <w:t>42-58.</w:t>
      </w:r>
      <w:bookmarkEnd w:id="32"/>
    </w:p>
    <w:p w:rsidR="00E60955" w:rsidRPr="00097544" w:rsidRDefault="00E60955" w:rsidP="00E614D4">
      <w:pPr>
        <w:spacing w:line="480" w:lineRule="auto"/>
        <w:ind w:left="720" w:hanging="720"/>
        <w:jc w:val="both"/>
        <w:rPr>
          <w:noProof/>
          <w:lang w:val="es-ES_tradnl"/>
        </w:rPr>
      </w:pPr>
      <w:bookmarkStart w:id="33" w:name="_ENREF_33"/>
      <w:r w:rsidRPr="00097544">
        <w:rPr>
          <w:noProof/>
          <w:lang w:val="es-ES_tradnl"/>
        </w:rPr>
        <w:t xml:space="preserve">Lutz, W., Goujon, A., KC, S., &amp; Sanderson, W. (2007). </w:t>
      </w:r>
      <w:r w:rsidRPr="001919F3">
        <w:rPr>
          <w:i/>
          <w:noProof/>
          <w:lang w:val="es-ES_tradnl"/>
        </w:rPr>
        <w:t>Reconstruction of populations by age, sex and level of educational attainment for 120 countries for 1970-2000.</w:t>
      </w:r>
      <w:r w:rsidRPr="00097544">
        <w:rPr>
          <w:noProof/>
          <w:lang w:val="es-ES_tradnl"/>
        </w:rPr>
        <w:t xml:space="preserve"> Laxenburg, Austria: International Institute for Applied Systems Analysis.</w:t>
      </w:r>
      <w:bookmarkEnd w:id="33"/>
    </w:p>
    <w:p w:rsidR="00E60955" w:rsidRPr="00097544" w:rsidRDefault="00E60955" w:rsidP="00E614D4">
      <w:pPr>
        <w:spacing w:line="480" w:lineRule="auto"/>
        <w:ind w:left="720" w:hanging="720"/>
        <w:jc w:val="both"/>
        <w:rPr>
          <w:noProof/>
          <w:lang w:val="es-ES_tradnl"/>
        </w:rPr>
      </w:pPr>
      <w:bookmarkStart w:id="34" w:name="_ENREF_34"/>
      <w:r w:rsidRPr="00097544">
        <w:rPr>
          <w:noProof/>
          <w:lang w:val="es-ES_tradnl"/>
        </w:rPr>
        <w:t xml:space="preserve">Lutz, W., &amp; KC, S. (2011). Global human capital: integrating education and population. </w:t>
      </w:r>
      <w:r w:rsidRPr="00097544">
        <w:rPr>
          <w:i/>
          <w:noProof/>
          <w:lang w:val="es-ES_tradnl"/>
        </w:rPr>
        <w:t xml:space="preserve">Science, </w:t>
      </w:r>
      <w:r w:rsidRPr="00097544">
        <w:rPr>
          <w:noProof/>
          <w:lang w:val="es-ES_tradnl"/>
        </w:rPr>
        <w:t>333, 587-592.</w:t>
      </w:r>
      <w:bookmarkEnd w:id="34"/>
    </w:p>
    <w:p w:rsidR="00E60955" w:rsidRPr="00097544" w:rsidRDefault="00E60955" w:rsidP="00E614D4">
      <w:pPr>
        <w:spacing w:line="480" w:lineRule="auto"/>
        <w:ind w:left="720" w:hanging="720"/>
        <w:jc w:val="both"/>
        <w:rPr>
          <w:noProof/>
          <w:lang w:val="es-ES_tradnl"/>
        </w:rPr>
      </w:pPr>
      <w:bookmarkStart w:id="35" w:name="_ENREF_35"/>
      <w:r w:rsidRPr="00097544">
        <w:rPr>
          <w:noProof/>
          <w:lang w:val="es-ES_tradnl"/>
        </w:rPr>
        <w:t xml:space="preserve">Lutz, W., KC, S., Khan, H. T. A., Scherbov, S., &amp; Leeson, W. (2007). </w:t>
      </w:r>
      <w:r w:rsidRPr="001919F3">
        <w:rPr>
          <w:i/>
          <w:noProof/>
          <w:lang w:val="es-ES_tradnl"/>
        </w:rPr>
        <w:t>Future Ageing in Southeast Asia: Demographic Trends, Human Capital and Health Status.</w:t>
      </w:r>
      <w:r w:rsidRPr="00097544">
        <w:rPr>
          <w:noProof/>
          <w:lang w:val="es-ES_tradnl"/>
        </w:rPr>
        <w:t xml:space="preserve"> Laxenburg, Austria: International Institute for Applied Systems Analysis.</w:t>
      </w:r>
      <w:bookmarkEnd w:id="35"/>
    </w:p>
    <w:p w:rsidR="00E60955" w:rsidRPr="00097544" w:rsidRDefault="00E60955" w:rsidP="00E614D4">
      <w:pPr>
        <w:spacing w:line="480" w:lineRule="auto"/>
        <w:ind w:left="720" w:hanging="720"/>
        <w:jc w:val="both"/>
        <w:rPr>
          <w:noProof/>
          <w:lang w:val="es-ES_tradnl"/>
        </w:rPr>
      </w:pPr>
      <w:bookmarkStart w:id="36" w:name="_ENREF_36"/>
      <w:r w:rsidRPr="00097544">
        <w:rPr>
          <w:noProof/>
          <w:lang w:val="es-ES_tradnl"/>
        </w:rPr>
        <w:t xml:space="preserve">Lynch, J. W., Kaplan, G. A., &amp; Salonen, J. T. (1997). Why do poor people behave poorly? Variation in adult health behaviours and psychosocial characteristics by stages of the socioeconomic lifecourse. </w:t>
      </w:r>
      <w:r w:rsidRPr="00097544">
        <w:rPr>
          <w:i/>
          <w:noProof/>
          <w:lang w:val="es-ES_tradnl"/>
        </w:rPr>
        <w:t xml:space="preserve">Social Science </w:t>
      </w:r>
      <w:r w:rsidR="001919F3">
        <w:rPr>
          <w:i/>
          <w:noProof/>
          <w:lang w:val="es-ES_tradnl"/>
        </w:rPr>
        <w:t>&amp;</w:t>
      </w:r>
      <w:r w:rsidRPr="00097544">
        <w:rPr>
          <w:i/>
          <w:noProof/>
          <w:lang w:val="es-ES_tradnl"/>
        </w:rPr>
        <w:t xml:space="preserve"> Medicine, </w:t>
      </w:r>
      <w:r w:rsidRPr="00097544">
        <w:rPr>
          <w:noProof/>
          <w:lang w:val="es-ES_tradnl"/>
        </w:rPr>
        <w:t>44, 809-819.</w:t>
      </w:r>
      <w:bookmarkEnd w:id="36"/>
    </w:p>
    <w:p w:rsidR="00E60955" w:rsidRPr="00097544" w:rsidRDefault="00E60955" w:rsidP="00E614D4">
      <w:pPr>
        <w:spacing w:line="480" w:lineRule="auto"/>
        <w:ind w:left="720" w:hanging="720"/>
        <w:jc w:val="both"/>
        <w:rPr>
          <w:noProof/>
          <w:lang w:val="es-ES_tradnl"/>
        </w:rPr>
      </w:pPr>
      <w:bookmarkStart w:id="37" w:name="_ENREF_37"/>
      <w:r w:rsidRPr="00097544">
        <w:rPr>
          <w:noProof/>
          <w:lang w:val="es-ES_tradnl"/>
        </w:rPr>
        <w:t xml:space="preserve">Marshall, S. F., Hardy, R. J., &amp; Kuh, D. (2000). Socioeconomic variation in hysterectomy up to age 52: national, population based, prospective cohort study. </w:t>
      </w:r>
      <w:r w:rsidRPr="00097544">
        <w:rPr>
          <w:i/>
          <w:noProof/>
          <w:lang w:val="es-ES_tradnl"/>
        </w:rPr>
        <w:t xml:space="preserve">BMJ, </w:t>
      </w:r>
      <w:r w:rsidRPr="00097544">
        <w:rPr>
          <w:noProof/>
          <w:lang w:val="es-ES_tradnl"/>
        </w:rPr>
        <w:t>320, 1579.</w:t>
      </w:r>
      <w:bookmarkEnd w:id="37"/>
    </w:p>
    <w:p w:rsidR="00E60955" w:rsidRPr="00097544" w:rsidRDefault="00E60955" w:rsidP="00E614D4">
      <w:pPr>
        <w:spacing w:line="480" w:lineRule="auto"/>
        <w:ind w:left="720" w:hanging="720"/>
        <w:jc w:val="both"/>
        <w:rPr>
          <w:noProof/>
          <w:lang w:val="es-ES_tradnl"/>
        </w:rPr>
      </w:pPr>
      <w:bookmarkStart w:id="38" w:name="_ENREF_38"/>
      <w:r w:rsidRPr="00097544">
        <w:rPr>
          <w:noProof/>
          <w:lang w:val="es-ES_tradnl"/>
        </w:rPr>
        <w:lastRenderedPageBreak/>
        <w:t xml:space="preserve">McCain, J. A. (1960). The Expansion of Educational Opportunity in Europe: Measures Taken to Democratize Education. </w:t>
      </w:r>
      <w:r w:rsidRPr="00097544">
        <w:rPr>
          <w:i/>
          <w:noProof/>
          <w:lang w:val="es-ES_tradnl"/>
        </w:rPr>
        <w:t xml:space="preserve">The Journal of Higher Education, </w:t>
      </w:r>
      <w:r w:rsidRPr="00097544">
        <w:rPr>
          <w:noProof/>
          <w:lang w:val="es-ES_tradnl"/>
        </w:rPr>
        <w:t>31</w:t>
      </w:r>
      <w:r w:rsidR="001919F3">
        <w:rPr>
          <w:noProof/>
          <w:lang w:val="es-ES_tradnl"/>
        </w:rPr>
        <w:t>,</w:t>
      </w:r>
      <w:r w:rsidRPr="00097544">
        <w:rPr>
          <w:noProof/>
          <w:lang w:val="es-ES_tradnl"/>
        </w:rPr>
        <w:t xml:space="preserve"> 75-80.</w:t>
      </w:r>
      <w:bookmarkEnd w:id="38"/>
    </w:p>
    <w:p w:rsidR="00E60955" w:rsidRPr="00097544" w:rsidRDefault="00E60955" w:rsidP="00E614D4">
      <w:pPr>
        <w:spacing w:line="480" w:lineRule="auto"/>
        <w:ind w:left="720" w:hanging="720"/>
        <w:jc w:val="both"/>
        <w:rPr>
          <w:noProof/>
          <w:lang w:val="es-ES_tradnl"/>
        </w:rPr>
      </w:pPr>
      <w:bookmarkStart w:id="39" w:name="_ENREF_39"/>
      <w:r w:rsidRPr="00097544">
        <w:rPr>
          <w:noProof/>
          <w:lang w:val="es-ES_tradnl"/>
        </w:rPr>
        <w:t xml:space="preserve">Meghir, C., &amp; Palme, M. (2005). Educational Reform, Ability, and Family Background. </w:t>
      </w:r>
      <w:r w:rsidRPr="00097544">
        <w:rPr>
          <w:i/>
          <w:noProof/>
          <w:lang w:val="es-ES_tradnl"/>
        </w:rPr>
        <w:t xml:space="preserve">The American Economic Review, </w:t>
      </w:r>
      <w:r w:rsidR="001919F3">
        <w:rPr>
          <w:noProof/>
          <w:lang w:val="es-ES_tradnl"/>
        </w:rPr>
        <w:t>95</w:t>
      </w:r>
      <w:r w:rsidRPr="00097544">
        <w:rPr>
          <w:noProof/>
          <w:lang w:val="es-ES_tradnl"/>
        </w:rPr>
        <w:t>, 414-424.</w:t>
      </w:r>
      <w:bookmarkEnd w:id="39"/>
    </w:p>
    <w:p w:rsidR="00E60955" w:rsidRPr="00097544" w:rsidRDefault="00E60955" w:rsidP="00E614D4">
      <w:pPr>
        <w:spacing w:line="480" w:lineRule="auto"/>
        <w:ind w:left="720" w:hanging="720"/>
        <w:jc w:val="both"/>
        <w:rPr>
          <w:noProof/>
          <w:lang w:val="es-ES_tradnl"/>
        </w:rPr>
      </w:pPr>
      <w:bookmarkStart w:id="40" w:name="_ENREF_40"/>
      <w:r w:rsidRPr="00097544">
        <w:rPr>
          <w:noProof/>
          <w:lang w:val="es-ES_tradnl"/>
        </w:rPr>
        <w:t xml:space="preserve">Mirowsky, J., &amp; Ross, C. E. (1998). Education, Personal Control, Lifestyle and Health: A Human Capital Hypothesis. </w:t>
      </w:r>
      <w:r w:rsidRPr="00097544">
        <w:rPr>
          <w:i/>
          <w:noProof/>
          <w:lang w:val="es-ES_tradnl"/>
        </w:rPr>
        <w:t xml:space="preserve">Research on Aging, </w:t>
      </w:r>
      <w:r w:rsidRPr="00097544">
        <w:rPr>
          <w:noProof/>
          <w:lang w:val="es-ES_tradnl"/>
        </w:rPr>
        <w:t>20, 415-449.</w:t>
      </w:r>
      <w:bookmarkEnd w:id="40"/>
    </w:p>
    <w:p w:rsidR="00E60955" w:rsidRPr="00097544" w:rsidRDefault="00E60955" w:rsidP="00E614D4">
      <w:pPr>
        <w:spacing w:line="480" w:lineRule="auto"/>
        <w:ind w:left="720" w:hanging="720"/>
        <w:jc w:val="both"/>
        <w:rPr>
          <w:noProof/>
          <w:lang w:val="es-ES_tradnl"/>
        </w:rPr>
      </w:pPr>
      <w:bookmarkStart w:id="41" w:name="_ENREF_41"/>
      <w:r w:rsidRPr="00097544">
        <w:rPr>
          <w:noProof/>
          <w:lang w:val="es-ES_tradnl"/>
        </w:rPr>
        <w:t xml:space="preserve">Murray, C. J., Ezzati, M., Lopez, A. D., Rodgers, A., &amp; Vander Hoorn, S. (2003). Comparative quantification of health risks conceptual framework and methodological issues. </w:t>
      </w:r>
      <w:r w:rsidRPr="00097544">
        <w:rPr>
          <w:i/>
          <w:noProof/>
          <w:lang w:val="es-ES_tradnl"/>
        </w:rPr>
        <w:t xml:space="preserve">Popul Health Metr, </w:t>
      </w:r>
      <w:r w:rsidRPr="00097544">
        <w:rPr>
          <w:noProof/>
          <w:lang w:val="es-ES_tradnl"/>
        </w:rPr>
        <w:t>1, 1.</w:t>
      </w:r>
      <w:bookmarkEnd w:id="41"/>
    </w:p>
    <w:p w:rsidR="00E60955" w:rsidRPr="001919F3" w:rsidRDefault="00E60955" w:rsidP="00E614D4">
      <w:pPr>
        <w:spacing w:line="480" w:lineRule="auto"/>
        <w:ind w:left="720" w:hanging="720"/>
        <w:jc w:val="both"/>
        <w:rPr>
          <w:noProof/>
          <w:lang w:val="es-ES_tradnl"/>
        </w:rPr>
      </w:pPr>
      <w:bookmarkStart w:id="42" w:name="_ENREF_42"/>
      <w:r w:rsidRPr="00097544">
        <w:rPr>
          <w:noProof/>
          <w:lang w:val="es-ES_tradnl"/>
        </w:rPr>
        <w:t xml:space="preserve">OECD. (2010). </w:t>
      </w:r>
      <w:r w:rsidRPr="001919F3">
        <w:rPr>
          <w:i/>
          <w:noProof/>
          <w:lang w:val="es-ES_tradnl"/>
        </w:rPr>
        <w:t>Education at a Glance 2010: OECD indicators.</w:t>
      </w:r>
      <w:bookmarkEnd w:id="42"/>
      <w:r w:rsidR="001919F3">
        <w:rPr>
          <w:noProof/>
          <w:lang w:val="es-ES_tradnl"/>
        </w:rPr>
        <w:t xml:space="preserve"> Paris: OECD Publishing.</w:t>
      </w:r>
    </w:p>
    <w:p w:rsidR="00E60955" w:rsidRDefault="00E60955" w:rsidP="00E614D4">
      <w:pPr>
        <w:spacing w:line="480" w:lineRule="auto"/>
        <w:ind w:left="720" w:hanging="720"/>
        <w:jc w:val="both"/>
        <w:rPr>
          <w:noProof/>
          <w:lang w:val="es-ES_tradnl"/>
        </w:rPr>
      </w:pPr>
      <w:bookmarkStart w:id="43" w:name="_ENREF_43"/>
      <w:r w:rsidRPr="00097544">
        <w:rPr>
          <w:noProof/>
          <w:lang w:val="es-ES_tradnl"/>
        </w:rPr>
        <w:t xml:space="preserve">Östergren, O., Menvielle, G., &amp; Lundberg, O. (2011). </w:t>
      </w:r>
      <w:r w:rsidRPr="00184AD8">
        <w:rPr>
          <w:i/>
          <w:noProof/>
          <w:lang w:val="es-ES_tradnl"/>
        </w:rPr>
        <w:t>Adjustment method to ensure comparability between populations reporting mortality data in different formats in the EURO-GBD-SE project.</w:t>
      </w:r>
      <w:bookmarkEnd w:id="43"/>
      <w:r w:rsidR="00184AD8" w:rsidRPr="00184AD8">
        <w:rPr>
          <w:i/>
          <w:noProof/>
          <w:lang w:val="es-ES_tradnl"/>
        </w:rPr>
        <w:t xml:space="preserve"> </w:t>
      </w:r>
      <w:r w:rsidR="00184AD8">
        <w:rPr>
          <w:noProof/>
          <w:lang w:val="es-ES_tradnl"/>
        </w:rPr>
        <w:t xml:space="preserve">Working document. Accessed in June 2013. Available at: </w:t>
      </w:r>
      <w:hyperlink r:id="rId14" w:history="1">
        <w:r w:rsidR="00184AD8" w:rsidRPr="003A702D">
          <w:rPr>
            <w:rStyle w:val="Hyperlink"/>
            <w:noProof/>
            <w:lang w:val="es-ES_tradnl"/>
          </w:rPr>
          <w:t>http://www.euro-gbd-se.eu/fileadmin/euro-gbd-se/public-files/Working%20document%20on%20the%20correction%20factor.pdf</w:t>
        </w:r>
      </w:hyperlink>
    </w:p>
    <w:p w:rsidR="00E60955" w:rsidRPr="00097544" w:rsidRDefault="00E60955" w:rsidP="00E614D4">
      <w:pPr>
        <w:spacing w:line="480" w:lineRule="auto"/>
        <w:ind w:left="720" w:hanging="720"/>
        <w:jc w:val="both"/>
        <w:rPr>
          <w:noProof/>
          <w:lang w:val="es-ES_tradnl"/>
        </w:rPr>
      </w:pPr>
      <w:bookmarkStart w:id="44" w:name="_ENREF_44"/>
      <w:r w:rsidRPr="00097544">
        <w:rPr>
          <w:noProof/>
          <w:lang w:val="es-ES_tradnl"/>
        </w:rPr>
        <w:t xml:space="preserve">Power, C., Manor, O., Fox, A. J., &amp; Fogelman, K. (1990). Health in Childhood and Social Inequalities in Health in Young Adults. </w:t>
      </w:r>
      <w:r w:rsidRPr="00097544">
        <w:rPr>
          <w:i/>
          <w:noProof/>
          <w:lang w:val="es-ES_tradnl"/>
        </w:rPr>
        <w:t>Journal of the Royal Statistical Society</w:t>
      </w:r>
      <w:r w:rsidR="006F6AAB">
        <w:rPr>
          <w:i/>
          <w:noProof/>
          <w:lang w:val="es-ES_tradnl"/>
        </w:rPr>
        <w:t xml:space="preserve">. </w:t>
      </w:r>
      <w:r w:rsidRPr="00097544">
        <w:rPr>
          <w:i/>
          <w:noProof/>
          <w:lang w:val="es-ES_tradnl"/>
        </w:rPr>
        <w:t xml:space="preserve">Series A (Statistics in Society), </w:t>
      </w:r>
      <w:r w:rsidRPr="00097544">
        <w:rPr>
          <w:noProof/>
          <w:lang w:val="es-ES_tradnl"/>
        </w:rPr>
        <w:t>153, 17-28.</w:t>
      </w:r>
      <w:bookmarkEnd w:id="44"/>
    </w:p>
    <w:p w:rsidR="00E60955" w:rsidRPr="00097544" w:rsidRDefault="00E60955" w:rsidP="00E614D4">
      <w:pPr>
        <w:spacing w:line="480" w:lineRule="auto"/>
        <w:ind w:left="720" w:hanging="720"/>
        <w:jc w:val="both"/>
        <w:rPr>
          <w:noProof/>
          <w:lang w:val="es-ES_tradnl"/>
        </w:rPr>
      </w:pPr>
      <w:bookmarkStart w:id="45" w:name="_ENREF_45"/>
      <w:r w:rsidRPr="00097544">
        <w:rPr>
          <w:noProof/>
          <w:lang w:val="es-ES_tradnl"/>
        </w:rPr>
        <w:t xml:space="preserve">Power, C. N. (2000). Global Trends in Education. </w:t>
      </w:r>
      <w:r w:rsidRPr="00097544">
        <w:rPr>
          <w:i/>
          <w:noProof/>
          <w:lang w:val="es-ES_tradnl"/>
        </w:rPr>
        <w:t xml:space="preserve">International Education Journal, </w:t>
      </w:r>
      <w:r w:rsidRPr="00097544">
        <w:rPr>
          <w:noProof/>
          <w:lang w:val="es-ES_tradnl"/>
        </w:rPr>
        <w:t>1, 152–163.</w:t>
      </w:r>
      <w:bookmarkEnd w:id="45"/>
    </w:p>
    <w:p w:rsidR="00E60955" w:rsidRPr="00097544" w:rsidRDefault="00E60955" w:rsidP="00E614D4">
      <w:pPr>
        <w:spacing w:line="480" w:lineRule="auto"/>
        <w:ind w:left="720" w:hanging="720"/>
        <w:jc w:val="both"/>
        <w:rPr>
          <w:noProof/>
          <w:lang w:val="es-ES_tradnl"/>
        </w:rPr>
      </w:pPr>
      <w:bookmarkStart w:id="46" w:name="_ENREF_46"/>
      <w:r w:rsidRPr="00097544">
        <w:rPr>
          <w:noProof/>
          <w:lang w:val="es-ES_tradnl"/>
        </w:rPr>
        <w:t xml:space="preserve">Preston, S. H., Stokes, A., Mehta, N. K., &amp; Cao, B. (2014). Projecting the Effect of Changes in Smoking and Obesity on Future Life Expectancy in the United States. </w:t>
      </w:r>
      <w:r w:rsidRPr="00097544">
        <w:rPr>
          <w:i/>
          <w:noProof/>
          <w:lang w:val="es-ES_tradnl"/>
        </w:rPr>
        <w:t xml:space="preserve">Demography, </w:t>
      </w:r>
      <w:r w:rsidR="005144BB">
        <w:rPr>
          <w:noProof/>
          <w:lang w:val="es-ES_tradnl"/>
        </w:rPr>
        <w:t>51</w:t>
      </w:r>
      <w:r w:rsidRPr="00097544">
        <w:rPr>
          <w:noProof/>
          <w:lang w:val="es-ES_tradnl"/>
        </w:rPr>
        <w:t>, 27-49.</w:t>
      </w:r>
      <w:bookmarkEnd w:id="46"/>
    </w:p>
    <w:p w:rsidR="00E60955" w:rsidRPr="00097544" w:rsidRDefault="00E60955" w:rsidP="00E614D4">
      <w:pPr>
        <w:spacing w:line="480" w:lineRule="auto"/>
        <w:ind w:left="720" w:hanging="720"/>
        <w:jc w:val="both"/>
        <w:rPr>
          <w:noProof/>
          <w:lang w:val="es-ES_tradnl"/>
        </w:rPr>
      </w:pPr>
      <w:bookmarkStart w:id="47" w:name="_ENREF_47"/>
      <w:r w:rsidRPr="00097544">
        <w:rPr>
          <w:noProof/>
          <w:lang w:val="es-ES_tradnl"/>
        </w:rPr>
        <w:t>Ross, C. E., &amp; Wu, C</w:t>
      </w:r>
      <w:r w:rsidR="005144BB">
        <w:rPr>
          <w:noProof/>
          <w:lang w:val="es-ES_tradnl"/>
        </w:rPr>
        <w:t>.</w:t>
      </w:r>
      <w:r w:rsidRPr="00097544">
        <w:rPr>
          <w:noProof/>
          <w:lang w:val="es-ES_tradnl"/>
        </w:rPr>
        <w:t xml:space="preserve"> (1995). The Links Between Education and Health. </w:t>
      </w:r>
      <w:r w:rsidRPr="00097544">
        <w:rPr>
          <w:i/>
          <w:noProof/>
          <w:lang w:val="es-ES_tradnl"/>
        </w:rPr>
        <w:t xml:space="preserve">American Sociological Review, </w:t>
      </w:r>
      <w:r w:rsidRPr="00097544">
        <w:rPr>
          <w:noProof/>
          <w:lang w:val="es-ES_tradnl"/>
        </w:rPr>
        <w:t>60, 719-745.</w:t>
      </w:r>
      <w:bookmarkEnd w:id="47"/>
    </w:p>
    <w:p w:rsidR="00E60955" w:rsidRPr="00097544" w:rsidRDefault="00E60955" w:rsidP="00E614D4">
      <w:pPr>
        <w:spacing w:line="480" w:lineRule="auto"/>
        <w:ind w:left="720" w:hanging="720"/>
        <w:jc w:val="both"/>
        <w:rPr>
          <w:noProof/>
          <w:lang w:val="es-ES_tradnl"/>
        </w:rPr>
      </w:pPr>
      <w:bookmarkStart w:id="48" w:name="_ENREF_48"/>
      <w:r w:rsidRPr="00097544">
        <w:rPr>
          <w:noProof/>
          <w:lang w:val="es-ES_tradnl"/>
        </w:rPr>
        <w:lastRenderedPageBreak/>
        <w:t xml:space="preserve">Schofer, E., &amp; Meyer, J. W. (2005). The Worldwide Expansion of Higher Education in the Twentieth Century. </w:t>
      </w:r>
      <w:r w:rsidRPr="00097544">
        <w:rPr>
          <w:i/>
          <w:noProof/>
          <w:lang w:val="es-ES_tradnl"/>
        </w:rPr>
        <w:t xml:space="preserve">American Sociological Review, </w:t>
      </w:r>
      <w:r w:rsidR="005144BB">
        <w:rPr>
          <w:noProof/>
          <w:lang w:val="es-ES_tradnl"/>
        </w:rPr>
        <w:t>70</w:t>
      </w:r>
      <w:r w:rsidRPr="00097544">
        <w:rPr>
          <w:noProof/>
          <w:lang w:val="es-ES_tradnl"/>
        </w:rPr>
        <w:t>, 898-920.</w:t>
      </w:r>
      <w:bookmarkEnd w:id="48"/>
    </w:p>
    <w:p w:rsidR="00E60955" w:rsidRPr="00097544" w:rsidRDefault="00E60955" w:rsidP="00E614D4">
      <w:pPr>
        <w:spacing w:line="480" w:lineRule="auto"/>
        <w:ind w:left="720" w:hanging="720"/>
        <w:jc w:val="both"/>
        <w:rPr>
          <w:noProof/>
          <w:lang w:val="es-ES_tradnl"/>
        </w:rPr>
      </w:pPr>
      <w:bookmarkStart w:id="49" w:name="_ENREF_49"/>
      <w:r w:rsidRPr="00097544">
        <w:rPr>
          <w:noProof/>
          <w:lang w:val="es-ES_tradnl"/>
        </w:rPr>
        <w:t xml:space="preserve">Shkolnikov, V. M., Andreev, E. M., Jasilionis, D., Leinsalu, M., Antonova, O. I., &amp; McKee, M. (2006). The changing relation between education and life expectancy in central and eastern Europe in the 1990s. </w:t>
      </w:r>
      <w:r w:rsidRPr="00097544">
        <w:rPr>
          <w:i/>
          <w:noProof/>
          <w:lang w:val="es-ES_tradnl"/>
        </w:rPr>
        <w:t xml:space="preserve">Journal of Epidemiology and Community Health, </w:t>
      </w:r>
      <w:r w:rsidRPr="00097544">
        <w:rPr>
          <w:noProof/>
          <w:lang w:val="es-ES_tradnl"/>
        </w:rPr>
        <w:t>60, 875-881.</w:t>
      </w:r>
      <w:bookmarkEnd w:id="49"/>
    </w:p>
    <w:p w:rsidR="00E60955" w:rsidRPr="00097544" w:rsidRDefault="00E60955" w:rsidP="00E614D4">
      <w:pPr>
        <w:spacing w:line="480" w:lineRule="auto"/>
        <w:ind w:left="720" w:hanging="720"/>
        <w:jc w:val="both"/>
        <w:rPr>
          <w:noProof/>
          <w:lang w:val="es-ES_tradnl"/>
        </w:rPr>
      </w:pPr>
      <w:bookmarkStart w:id="50" w:name="_ENREF_50"/>
      <w:r w:rsidRPr="00097544">
        <w:rPr>
          <w:noProof/>
          <w:lang w:val="es-ES_tradnl"/>
        </w:rPr>
        <w:t xml:space="preserve">Smith, B. T., Smith, P. M., Etches, J., &amp; Mustard, C. A. (2012). Overqualification and Risk of All-cause and Cardiovascular Mortality: Evidence from the Canadian Census Mortality Follow-up Study (1991–2001). </w:t>
      </w:r>
      <w:r w:rsidRPr="00097544">
        <w:rPr>
          <w:i/>
          <w:noProof/>
          <w:lang w:val="es-ES_tradnl"/>
        </w:rPr>
        <w:t xml:space="preserve">Canadian Journal of Public Health, </w:t>
      </w:r>
      <w:r w:rsidRPr="00097544">
        <w:rPr>
          <w:noProof/>
          <w:lang w:val="es-ES_tradnl"/>
        </w:rPr>
        <w:t>103, 297</w:t>
      </w:r>
      <w:r w:rsidR="005144BB">
        <w:rPr>
          <w:noProof/>
          <w:lang w:val="es-ES_tradnl"/>
        </w:rPr>
        <w:t>-</w:t>
      </w:r>
      <w:r w:rsidRPr="00097544">
        <w:rPr>
          <w:noProof/>
          <w:lang w:val="es-ES_tradnl"/>
        </w:rPr>
        <w:t>302.</w:t>
      </w:r>
      <w:bookmarkEnd w:id="50"/>
    </w:p>
    <w:p w:rsidR="00E60955" w:rsidRPr="00097544" w:rsidRDefault="00E60955" w:rsidP="00E614D4">
      <w:pPr>
        <w:spacing w:line="480" w:lineRule="auto"/>
        <w:ind w:left="720" w:hanging="720"/>
        <w:jc w:val="both"/>
        <w:rPr>
          <w:noProof/>
          <w:lang w:val="es-ES_tradnl"/>
        </w:rPr>
      </w:pPr>
      <w:bookmarkStart w:id="51" w:name="_ENREF_51"/>
      <w:r w:rsidRPr="00097544">
        <w:rPr>
          <w:noProof/>
          <w:lang w:val="es-ES_tradnl"/>
        </w:rPr>
        <w:t xml:space="preserve">Smith, P., &amp; Frank, J. (2005). When aspirations and achievements don't meet. A longitudinal examination of the differential effect of education and occupational attainment on declines in self-rated health among Canadian labour force participants. </w:t>
      </w:r>
      <w:r w:rsidRPr="00097544">
        <w:rPr>
          <w:i/>
          <w:noProof/>
          <w:lang w:val="es-ES_tradnl"/>
        </w:rPr>
        <w:t xml:space="preserve">International Journal of Epidemiology, </w:t>
      </w:r>
      <w:r w:rsidRPr="00097544">
        <w:rPr>
          <w:noProof/>
          <w:lang w:val="es-ES_tradnl"/>
        </w:rPr>
        <w:t>34, 827-834.</w:t>
      </w:r>
      <w:bookmarkEnd w:id="51"/>
    </w:p>
    <w:p w:rsidR="00E60955" w:rsidRPr="00097544" w:rsidRDefault="00E60955" w:rsidP="00E614D4">
      <w:pPr>
        <w:spacing w:line="480" w:lineRule="auto"/>
        <w:ind w:left="720" w:hanging="720"/>
        <w:jc w:val="both"/>
        <w:rPr>
          <w:noProof/>
          <w:lang w:val="es-ES_tradnl"/>
        </w:rPr>
      </w:pPr>
      <w:bookmarkStart w:id="52" w:name="_ENREF_52"/>
      <w:r w:rsidRPr="00097544">
        <w:rPr>
          <w:noProof/>
          <w:lang w:val="es-ES_tradnl"/>
        </w:rPr>
        <w:t xml:space="preserve">Steenland, K., Henley, J., &amp; Thun, M. (2002). All-cause and cause-specific death rates by educational status for two million people in two American Cancer Society cohorts, 1959-1996. </w:t>
      </w:r>
      <w:r w:rsidRPr="00097544">
        <w:rPr>
          <w:i/>
          <w:noProof/>
          <w:lang w:val="es-ES_tradnl"/>
        </w:rPr>
        <w:t xml:space="preserve">American Journal of Epidemiology, </w:t>
      </w:r>
      <w:r w:rsidRPr="00097544">
        <w:rPr>
          <w:noProof/>
          <w:lang w:val="es-ES_tradnl"/>
        </w:rPr>
        <w:t>156, 11-21.</w:t>
      </w:r>
      <w:bookmarkEnd w:id="52"/>
    </w:p>
    <w:p w:rsidR="00E60955" w:rsidRPr="00097544" w:rsidRDefault="00E60955" w:rsidP="00E614D4">
      <w:pPr>
        <w:spacing w:line="480" w:lineRule="auto"/>
        <w:ind w:left="720" w:hanging="720"/>
        <w:jc w:val="both"/>
        <w:rPr>
          <w:noProof/>
          <w:lang w:val="es-ES_tradnl"/>
        </w:rPr>
      </w:pPr>
      <w:bookmarkStart w:id="53" w:name="_ENREF_53"/>
      <w:r w:rsidRPr="00097544">
        <w:rPr>
          <w:noProof/>
          <w:lang w:val="es-ES_tradnl"/>
        </w:rPr>
        <w:t xml:space="preserve">Stewart, S. T., Cutler, D. M., &amp; Rosen, A. B. (2009). Forecasting the effects of obesity and smoking on U.S. life expectancy. </w:t>
      </w:r>
      <w:r w:rsidRPr="00097544">
        <w:rPr>
          <w:i/>
          <w:noProof/>
          <w:lang w:val="es-ES_tradnl"/>
        </w:rPr>
        <w:t xml:space="preserve">New England Journal of Medicine, </w:t>
      </w:r>
      <w:r w:rsidRPr="00097544">
        <w:rPr>
          <w:noProof/>
          <w:lang w:val="es-ES_tradnl"/>
        </w:rPr>
        <w:t>361, 2252-2260.</w:t>
      </w:r>
      <w:bookmarkEnd w:id="53"/>
    </w:p>
    <w:p w:rsidR="00E60955" w:rsidRPr="00097544" w:rsidRDefault="00E60955" w:rsidP="00E614D4">
      <w:pPr>
        <w:spacing w:line="480" w:lineRule="auto"/>
        <w:ind w:left="720" w:hanging="720"/>
        <w:jc w:val="both"/>
        <w:rPr>
          <w:noProof/>
          <w:lang w:val="es-ES_tradnl"/>
        </w:rPr>
      </w:pPr>
      <w:bookmarkStart w:id="54" w:name="_ENREF_54"/>
      <w:r w:rsidRPr="00097544">
        <w:rPr>
          <w:noProof/>
          <w:lang w:val="es-ES_tradnl"/>
        </w:rPr>
        <w:t xml:space="preserve">Triventi, M. (2013). Stratification in Higher Education and Its Relationship with Social Inequality: A Comparative Study of 11 European Countries. </w:t>
      </w:r>
      <w:r w:rsidRPr="00097544">
        <w:rPr>
          <w:i/>
          <w:noProof/>
          <w:lang w:val="es-ES_tradnl"/>
        </w:rPr>
        <w:t xml:space="preserve">European Sociological Review, </w:t>
      </w:r>
      <w:r w:rsidRPr="00097544">
        <w:rPr>
          <w:noProof/>
          <w:lang w:val="es-ES_tradnl"/>
        </w:rPr>
        <w:t>29, 489-502.</w:t>
      </w:r>
      <w:bookmarkEnd w:id="54"/>
    </w:p>
    <w:p w:rsidR="00E60955" w:rsidRPr="00924C77" w:rsidRDefault="00E60955" w:rsidP="00505EA0">
      <w:pPr>
        <w:spacing w:line="480" w:lineRule="auto"/>
        <w:ind w:left="720" w:hanging="720"/>
        <w:jc w:val="both"/>
        <w:rPr>
          <w:lang w:val="en-GB"/>
        </w:rPr>
      </w:pPr>
      <w:bookmarkStart w:id="55" w:name="_ENREF_55"/>
      <w:r w:rsidRPr="00097544">
        <w:rPr>
          <w:noProof/>
          <w:lang w:val="es-ES_tradnl"/>
        </w:rPr>
        <w:t xml:space="preserve">van Kippersluis, H., O'Donnell, O., &amp; van Doorslaer, E. (2009). Long Run Returns to Education: Does Schooling Lead to an Extended Old Age? </w:t>
      </w:r>
      <w:r w:rsidRPr="00097544">
        <w:rPr>
          <w:i/>
          <w:noProof/>
          <w:lang w:val="es-ES_tradnl"/>
        </w:rPr>
        <w:t xml:space="preserve">Journal of Human Resources, </w:t>
      </w:r>
      <w:r w:rsidRPr="00097544">
        <w:rPr>
          <w:noProof/>
          <w:lang w:val="es-ES_tradnl"/>
        </w:rPr>
        <w:t>4, 1-33.</w:t>
      </w:r>
      <w:bookmarkEnd w:id="55"/>
    </w:p>
    <w:p w:rsidR="00E60955" w:rsidRDefault="00E60955" w:rsidP="00E614D4">
      <w:pPr>
        <w:spacing w:line="480" w:lineRule="auto"/>
        <w:jc w:val="both"/>
        <w:rPr>
          <w:b/>
          <w:lang w:val="en-GB"/>
        </w:rPr>
        <w:sectPr w:rsidR="00E60955" w:rsidSect="00A117E5">
          <w:pgSz w:w="11906" w:h="16838"/>
          <w:pgMar w:top="1418" w:right="1418" w:bottom="1418" w:left="1418" w:header="709" w:footer="709" w:gutter="0"/>
          <w:cols w:space="708"/>
          <w:docGrid w:linePitch="360"/>
        </w:sectPr>
      </w:pPr>
    </w:p>
    <w:p w:rsidR="00E60955" w:rsidRPr="00E411B1" w:rsidRDefault="00460B37" w:rsidP="00E614D4">
      <w:pPr>
        <w:spacing w:line="480" w:lineRule="auto"/>
        <w:rPr>
          <w:lang w:val="en-GB"/>
        </w:rPr>
      </w:pPr>
      <w:r>
        <w:rPr>
          <w:lang w:val="en-GB"/>
        </w:rPr>
        <w:lastRenderedPageBreak/>
        <w:pict>
          <v:shape id="_x0000_i1026" type="#_x0000_t75" style="width:673.55pt;height:411.1pt;mso-position-horizontal-relative:char;mso-position-vertical-relative:line">
            <v:imagedata r:id="rId15" o:title=""/>
          </v:shape>
        </w:pict>
      </w:r>
    </w:p>
    <w:p w:rsidR="00E60955" w:rsidRDefault="00E60955" w:rsidP="00E614D4">
      <w:pPr>
        <w:pStyle w:val="Caption"/>
        <w:spacing w:line="480" w:lineRule="auto"/>
        <w:rPr>
          <w:noProof/>
          <w:sz w:val="24"/>
          <w:szCs w:val="24"/>
          <w:lang w:val="en-GB"/>
        </w:rPr>
      </w:pPr>
      <w:r w:rsidRPr="00367576">
        <w:rPr>
          <w:sz w:val="24"/>
          <w:szCs w:val="24"/>
          <w:lang w:val="en-GB"/>
        </w:rPr>
        <w:t xml:space="preserve">Figure </w:t>
      </w:r>
      <w:r w:rsidRPr="00367576">
        <w:rPr>
          <w:sz w:val="24"/>
          <w:szCs w:val="24"/>
          <w:lang w:val="en-GB"/>
        </w:rPr>
        <w:fldChar w:fldCharType="begin"/>
      </w:r>
      <w:r w:rsidRPr="00367576">
        <w:rPr>
          <w:sz w:val="24"/>
          <w:szCs w:val="24"/>
          <w:lang w:val="en-GB"/>
        </w:rPr>
        <w:instrText xml:space="preserve"> SEQ Figure \* ARABIC </w:instrText>
      </w:r>
      <w:r w:rsidRPr="00367576">
        <w:rPr>
          <w:sz w:val="24"/>
          <w:szCs w:val="24"/>
          <w:lang w:val="en-GB"/>
        </w:rPr>
        <w:fldChar w:fldCharType="separate"/>
      </w:r>
      <w:r>
        <w:rPr>
          <w:noProof/>
          <w:sz w:val="24"/>
          <w:szCs w:val="24"/>
          <w:lang w:val="en-GB"/>
        </w:rPr>
        <w:t>1</w:t>
      </w:r>
      <w:r w:rsidRPr="00367576">
        <w:rPr>
          <w:sz w:val="24"/>
          <w:szCs w:val="24"/>
          <w:lang w:val="en-GB"/>
        </w:rPr>
        <w:fldChar w:fldCharType="end"/>
      </w:r>
      <w:r w:rsidRPr="00367576">
        <w:rPr>
          <w:noProof/>
          <w:sz w:val="24"/>
          <w:szCs w:val="24"/>
          <w:lang w:val="en-GB"/>
        </w:rPr>
        <w:t>: Percentage reduction in all-cause mortality</w:t>
      </w:r>
      <w:r>
        <w:rPr>
          <w:noProof/>
          <w:sz w:val="24"/>
          <w:szCs w:val="24"/>
          <w:lang w:val="en-GB"/>
        </w:rPr>
        <w:t xml:space="preserve"> in the cohort replacement and upward levelling scenarios</w:t>
      </w:r>
      <w:r w:rsidRPr="00367576">
        <w:rPr>
          <w:noProof/>
          <w:sz w:val="24"/>
          <w:szCs w:val="24"/>
          <w:lang w:val="en-GB"/>
        </w:rPr>
        <w:t>, 30–79 years</w:t>
      </w:r>
    </w:p>
    <w:p w:rsidR="00E60955" w:rsidRPr="00C87528" w:rsidRDefault="00E60955" w:rsidP="00E614D4">
      <w:pPr>
        <w:pStyle w:val="Caption"/>
        <w:keepNext/>
        <w:spacing w:line="480" w:lineRule="auto"/>
        <w:rPr>
          <w:sz w:val="24"/>
          <w:szCs w:val="24"/>
          <w:lang w:val="en-GB"/>
        </w:rPr>
      </w:pPr>
      <w:r w:rsidRPr="00C87528">
        <w:rPr>
          <w:sz w:val="24"/>
          <w:szCs w:val="24"/>
          <w:lang w:val="en-GB"/>
        </w:rPr>
        <w:lastRenderedPageBreak/>
        <w:t xml:space="preserve">Table </w:t>
      </w:r>
      <w:r w:rsidRPr="00C87528">
        <w:rPr>
          <w:sz w:val="24"/>
          <w:szCs w:val="24"/>
        </w:rPr>
        <w:fldChar w:fldCharType="begin"/>
      </w:r>
      <w:r w:rsidRPr="00C87528">
        <w:rPr>
          <w:sz w:val="24"/>
          <w:szCs w:val="24"/>
          <w:lang w:val="en-GB"/>
        </w:rPr>
        <w:instrText xml:space="preserve"> SEQ Table \* ARABIC </w:instrText>
      </w:r>
      <w:r w:rsidRPr="00C87528">
        <w:rPr>
          <w:sz w:val="24"/>
          <w:szCs w:val="24"/>
        </w:rPr>
        <w:fldChar w:fldCharType="separate"/>
      </w:r>
      <w:r>
        <w:rPr>
          <w:noProof/>
          <w:sz w:val="24"/>
          <w:szCs w:val="24"/>
          <w:lang w:val="en-GB"/>
        </w:rPr>
        <w:t>1</w:t>
      </w:r>
      <w:r w:rsidRPr="00C87528">
        <w:rPr>
          <w:sz w:val="24"/>
          <w:szCs w:val="24"/>
        </w:rPr>
        <w:fldChar w:fldCharType="end"/>
      </w:r>
      <w:r w:rsidRPr="00C87528">
        <w:rPr>
          <w:sz w:val="24"/>
          <w:szCs w:val="24"/>
          <w:lang w:val="en-GB"/>
        </w:rPr>
        <w:t>: Characteristics of the mortality data</w:t>
      </w:r>
    </w:p>
    <w:p w:rsidR="00E60955" w:rsidRPr="00C87528" w:rsidRDefault="00E60955" w:rsidP="00E614D4">
      <w:pPr>
        <w:spacing w:line="480" w:lineRule="auto"/>
        <w:rPr>
          <w:sz w:val="6"/>
          <w:szCs w:val="6"/>
          <w:lang w:val="en-GB"/>
        </w:rPr>
      </w:pPr>
    </w:p>
    <w:tbl>
      <w:tblPr>
        <w:tblW w:w="13608" w:type="dxa"/>
        <w:tblInd w:w="5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1803"/>
        <w:gridCol w:w="2516"/>
        <w:gridCol w:w="3816"/>
        <w:gridCol w:w="2810"/>
        <w:gridCol w:w="2663"/>
      </w:tblGrid>
      <w:tr w:rsidR="00E60955" w:rsidRPr="00924C77" w:rsidTr="00A117E5">
        <w:trPr>
          <w:trHeight w:val="255"/>
        </w:trPr>
        <w:tc>
          <w:tcPr>
            <w:tcW w:w="1728" w:type="dxa"/>
            <w:tcBorders>
              <w:top w:val="single" w:sz="4" w:space="0" w:color="auto"/>
              <w:left w:val="single" w:sz="4" w:space="0" w:color="auto"/>
              <w:bottom w:val="single" w:sz="4" w:space="0" w:color="auto"/>
              <w:right w:val="nil"/>
            </w:tcBorders>
            <w:shd w:val="clear" w:color="auto" w:fill="auto"/>
            <w:vAlign w:val="bottom"/>
          </w:tcPr>
          <w:p w:rsidR="00E60955" w:rsidRPr="00924C77" w:rsidRDefault="00E60955" w:rsidP="00E614D4">
            <w:pPr>
              <w:spacing w:line="480" w:lineRule="auto"/>
              <w:rPr>
                <w:b/>
                <w:bCs/>
                <w:sz w:val="22"/>
                <w:szCs w:val="22"/>
                <w:lang w:val="en-GB"/>
              </w:rPr>
            </w:pPr>
            <w:r w:rsidRPr="00924C77">
              <w:rPr>
                <w:b/>
                <w:bCs/>
                <w:sz w:val="22"/>
                <w:szCs w:val="22"/>
                <w:lang w:val="en-GB"/>
              </w:rPr>
              <w:t>Population</w:t>
            </w:r>
          </w:p>
        </w:tc>
        <w:tc>
          <w:tcPr>
            <w:tcW w:w="2411" w:type="dxa"/>
            <w:tcBorders>
              <w:top w:val="single" w:sz="4" w:space="0" w:color="auto"/>
              <w:left w:val="nil"/>
              <w:bottom w:val="single" w:sz="4" w:space="0" w:color="auto"/>
            </w:tcBorders>
            <w:shd w:val="clear" w:color="auto" w:fill="auto"/>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Type of dataset</w:t>
            </w:r>
          </w:p>
        </w:tc>
        <w:tc>
          <w:tcPr>
            <w:tcW w:w="3657" w:type="dxa"/>
            <w:tcBorders>
              <w:top w:val="single" w:sz="4" w:space="0" w:color="auto"/>
              <w:bottom w:val="single" w:sz="4" w:space="0" w:color="auto"/>
            </w:tcBorders>
            <w:shd w:val="clear" w:color="auto" w:fill="auto"/>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Period</w:t>
            </w:r>
          </w:p>
        </w:tc>
        <w:tc>
          <w:tcPr>
            <w:tcW w:w="2693" w:type="dxa"/>
            <w:tcBorders>
              <w:top w:val="single" w:sz="4" w:space="0" w:color="auto"/>
              <w:bottom w:val="single" w:sz="4" w:space="0" w:color="auto"/>
            </w:tcBorders>
            <w:shd w:val="clear" w:color="auto" w:fill="auto"/>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Geographic coverage</w:t>
            </w:r>
          </w:p>
        </w:tc>
        <w:tc>
          <w:tcPr>
            <w:tcW w:w="2552" w:type="dxa"/>
            <w:tcBorders>
              <w:top w:val="single" w:sz="4" w:space="0" w:color="auto"/>
              <w:bottom w:val="single" w:sz="4" w:space="0" w:color="auto"/>
            </w:tcBorders>
            <w:shd w:val="clear" w:color="auto" w:fill="auto"/>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 xml:space="preserve"> Demographic coverage</w:t>
            </w:r>
          </w:p>
        </w:tc>
      </w:tr>
      <w:tr w:rsidR="00E60955" w:rsidRPr="00460B37" w:rsidTr="00A117E5">
        <w:trPr>
          <w:trHeight w:val="510"/>
        </w:trPr>
        <w:tc>
          <w:tcPr>
            <w:tcW w:w="1728" w:type="dxa"/>
            <w:tcBorders>
              <w:top w:val="single" w:sz="4" w:space="0" w:color="auto"/>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Finland</w:t>
            </w:r>
          </w:p>
        </w:tc>
        <w:tc>
          <w:tcPr>
            <w:tcW w:w="2411" w:type="dxa"/>
            <w:tcBorders>
              <w:top w:val="single" w:sz="4" w:space="0" w:color="auto"/>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2001–2007</w:t>
            </w:r>
          </w:p>
        </w:tc>
        <w:tc>
          <w:tcPr>
            <w:tcW w:w="2693"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 of Finns are excluded (at random)</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Sweden</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2001–2006</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Norway</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2001–2006</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single" w:sz="4" w:space="0" w:color="auto"/>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Denmark</w:t>
            </w:r>
          </w:p>
        </w:tc>
        <w:tc>
          <w:tcPr>
            <w:tcW w:w="2411" w:type="dxa"/>
            <w:tcBorders>
              <w:top w:val="nil"/>
              <w:left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2001–2005</w:t>
            </w:r>
          </w:p>
        </w:tc>
        <w:tc>
          <w:tcPr>
            <w:tcW w:w="2693"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510"/>
        </w:trPr>
        <w:tc>
          <w:tcPr>
            <w:tcW w:w="1728" w:type="dxa"/>
            <w:tcBorders>
              <w:top w:val="single" w:sz="4" w:space="0" w:color="auto"/>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England &amp; Wales</w:t>
            </w:r>
          </w:p>
        </w:tc>
        <w:tc>
          <w:tcPr>
            <w:tcW w:w="2411" w:type="dxa"/>
            <w:tcBorders>
              <w:top w:val="single" w:sz="4" w:space="0" w:color="auto"/>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2001–2006</w:t>
            </w:r>
          </w:p>
        </w:tc>
        <w:tc>
          <w:tcPr>
            <w:tcW w:w="2693"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1% of the population</w:t>
            </w:r>
          </w:p>
        </w:tc>
      </w:tr>
      <w:tr w:rsidR="00E60955" w:rsidRPr="00460B37" w:rsidTr="00A117E5">
        <w:trPr>
          <w:trHeight w:val="510"/>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Scotland</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2001–2006</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5.3% representative sample of the population</w:t>
            </w:r>
          </w:p>
        </w:tc>
      </w:tr>
      <w:tr w:rsidR="00E60955" w:rsidRPr="00460B37" w:rsidTr="00A117E5">
        <w:trPr>
          <w:trHeight w:val="510"/>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Netherlands</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1998–2003, 1999–2004, 2000–2005, 2001–2006, 2002–2007</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linkage based on the labour force survey</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Belgium</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2001–2005</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460B37" w:rsidTr="00A117E5">
        <w:trPr>
          <w:trHeight w:val="76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France</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1999–2005</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1% of the population, born outside France mainland excluded</w:t>
            </w:r>
          </w:p>
        </w:tc>
      </w:tr>
      <w:tr w:rsidR="00E60955" w:rsidRPr="00924C77" w:rsidTr="00A117E5">
        <w:trPr>
          <w:trHeight w:val="510"/>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Switzerland</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2001–2005</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Non-Swiss nationals </w:t>
            </w:r>
            <w:r w:rsidRPr="00924C77">
              <w:rPr>
                <w:sz w:val="22"/>
                <w:szCs w:val="22"/>
                <w:lang w:val="en-GB"/>
              </w:rPr>
              <w:lastRenderedPageBreak/>
              <w:t>excluded</w:t>
            </w:r>
          </w:p>
        </w:tc>
      </w:tr>
      <w:tr w:rsidR="00E60955" w:rsidRPr="00924C77" w:rsidTr="00A117E5">
        <w:trPr>
          <w:trHeight w:val="255"/>
        </w:trPr>
        <w:tc>
          <w:tcPr>
            <w:tcW w:w="1728" w:type="dxa"/>
            <w:tcBorders>
              <w:top w:val="nil"/>
              <w:left w:val="single" w:sz="4" w:space="0" w:color="auto"/>
              <w:bottom w:val="single" w:sz="4" w:space="0" w:color="auto"/>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lastRenderedPageBreak/>
              <w:t>Austria</w:t>
            </w:r>
          </w:p>
        </w:tc>
        <w:tc>
          <w:tcPr>
            <w:tcW w:w="2411" w:type="dxa"/>
            <w:tcBorders>
              <w:top w:val="nil"/>
              <w:left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2001–2002</w:t>
            </w:r>
          </w:p>
        </w:tc>
        <w:tc>
          <w:tcPr>
            <w:tcW w:w="2693"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single" w:sz="4" w:space="0" w:color="auto"/>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Barcelona</w:t>
            </w:r>
          </w:p>
        </w:tc>
        <w:tc>
          <w:tcPr>
            <w:tcW w:w="2411" w:type="dxa"/>
            <w:tcBorders>
              <w:top w:val="single" w:sz="4" w:space="0" w:color="auto"/>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repeated cross-sectional</w:t>
            </w:r>
          </w:p>
        </w:tc>
        <w:tc>
          <w:tcPr>
            <w:tcW w:w="3657"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2000–2006</w:t>
            </w:r>
          </w:p>
        </w:tc>
        <w:tc>
          <w:tcPr>
            <w:tcW w:w="2693"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city</w:t>
            </w:r>
          </w:p>
        </w:tc>
        <w:tc>
          <w:tcPr>
            <w:tcW w:w="2552" w:type="dxa"/>
            <w:tcBorders>
              <w:top w:val="single" w:sz="4" w:space="0" w:color="auto"/>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Basque</w:t>
            </w:r>
            <w:r w:rsidR="00BD2F47">
              <w:rPr>
                <w:b/>
                <w:bCs/>
                <w:sz w:val="22"/>
                <w:szCs w:val="22"/>
                <w:lang w:val="en-GB"/>
              </w:rPr>
              <w:t xml:space="preserve"> Country</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2001–2006</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region</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Madrid</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2001–2003</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region</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Turin</w:t>
            </w:r>
          </w:p>
        </w:tc>
        <w:tc>
          <w:tcPr>
            <w:tcW w:w="2411" w:type="dxa"/>
            <w:tcBorders>
              <w:top w:val="nil"/>
              <w:left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 xml:space="preserve">longitudinal </w:t>
            </w:r>
          </w:p>
        </w:tc>
        <w:tc>
          <w:tcPr>
            <w:tcW w:w="3657"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2001–2006</w:t>
            </w:r>
          </w:p>
        </w:tc>
        <w:tc>
          <w:tcPr>
            <w:tcW w:w="2693"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city</w:t>
            </w:r>
          </w:p>
        </w:tc>
        <w:tc>
          <w:tcPr>
            <w:tcW w:w="2552" w:type="dxa"/>
            <w:tcBorders>
              <w:top w:val="nil"/>
              <w:bottom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single" w:sz="4" w:space="0" w:color="auto"/>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Tuscany</w:t>
            </w:r>
          </w:p>
        </w:tc>
        <w:tc>
          <w:tcPr>
            <w:tcW w:w="2411" w:type="dxa"/>
            <w:tcBorders>
              <w:top w:val="nil"/>
              <w:left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2001–2005</w:t>
            </w:r>
          </w:p>
        </w:tc>
        <w:tc>
          <w:tcPr>
            <w:tcW w:w="2693"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Florence, Leghorn, Prato</w:t>
            </w:r>
          </w:p>
        </w:tc>
        <w:tc>
          <w:tcPr>
            <w:tcW w:w="2552" w:type="dxa"/>
            <w:tcBorders>
              <w:top w:val="nil"/>
              <w:bottom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single" w:sz="4" w:space="0" w:color="auto"/>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Hungary</w:t>
            </w:r>
          </w:p>
        </w:tc>
        <w:tc>
          <w:tcPr>
            <w:tcW w:w="2411" w:type="dxa"/>
            <w:tcBorders>
              <w:top w:val="single" w:sz="4" w:space="0" w:color="auto"/>
              <w:left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cross-sectional unlinked</w:t>
            </w:r>
          </w:p>
        </w:tc>
        <w:tc>
          <w:tcPr>
            <w:tcW w:w="3657" w:type="dxa"/>
            <w:tcBorders>
              <w:top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1999–2002</w:t>
            </w:r>
          </w:p>
        </w:tc>
        <w:tc>
          <w:tcPr>
            <w:tcW w:w="2693" w:type="dxa"/>
            <w:tcBorders>
              <w:top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tcBorders>
              <w:top w:val="single" w:sz="4" w:space="0" w:color="auto"/>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Czech Republic</w:t>
            </w:r>
          </w:p>
        </w:tc>
        <w:tc>
          <w:tcPr>
            <w:tcW w:w="2411" w:type="dxa"/>
            <w:tcBorders>
              <w:left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cross-sectional unlinked</w:t>
            </w:r>
          </w:p>
        </w:tc>
        <w:tc>
          <w:tcPr>
            <w:tcW w:w="3657"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1999–2003</w:t>
            </w:r>
          </w:p>
        </w:tc>
        <w:tc>
          <w:tcPr>
            <w:tcW w:w="2693"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Poland</w:t>
            </w:r>
          </w:p>
        </w:tc>
        <w:tc>
          <w:tcPr>
            <w:tcW w:w="2411" w:type="dxa"/>
            <w:tcBorders>
              <w:left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cross-sectional unlinked</w:t>
            </w:r>
          </w:p>
        </w:tc>
        <w:tc>
          <w:tcPr>
            <w:tcW w:w="3657"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2001–2003</w:t>
            </w:r>
          </w:p>
        </w:tc>
        <w:tc>
          <w:tcPr>
            <w:tcW w:w="2693"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nil"/>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Lithuania</w:t>
            </w:r>
          </w:p>
        </w:tc>
        <w:tc>
          <w:tcPr>
            <w:tcW w:w="2411" w:type="dxa"/>
            <w:tcBorders>
              <w:left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longitudinal</w:t>
            </w:r>
          </w:p>
        </w:tc>
        <w:tc>
          <w:tcPr>
            <w:tcW w:w="3657"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2001–2005</w:t>
            </w:r>
          </w:p>
        </w:tc>
        <w:tc>
          <w:tcPr>
            <w:tcW w:w="2693"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r w:rsidR="00E60955" w:rsidRPr="00924C77" w:rsidTr="00A117E5">
        <w:trPr>
          <w:trHeight w:val="255"/>
        </w:trPr>
        <w:tc>
          <w:tcPr>
            <w:tcW w:w="1728" w:type="dxa"/>
            <w:tcBorders>
              <w:top w:val="nil"/>
              <w:left w:val="single" w:sz="4" w:space="0" w:color="auto"/>
              <w:bottom w:val="single" w:sz="4" w:space="0" w:color="auto"/>
              <w:right w:val="nil"/>
            </w:tcBorders>
            <w:shd w:val="clear" w:color="auto" w:fill="auto"/>
          </w:tcPr>
          <w:p w:rsidR="00E60955" w:rsidRPr="00924C77" w:rsidRDefault="00E60955" w:rsidP="00E614D4">
            <w:pPr>
              <w:spacing w:line="480" w:lineRule="auto"/>
              <w:rPr>
                <w:b/>
                <w:bCs/>
                <w:sz w:val="22"/>
                <w:szCs w:val="22"/>
                <w:lang w:val="en-GB"/>
              </w:rPr>
            </w:pPr>
            <w:r w:rsidRPr="00924C77">
              <w:rPr>
                <w:b/>
                <w:bCs/>
                <w:sz w:val="22"/>
                <w:szCs w:val="22"/>
                <w:lang w:val="en-GB"/>
              </w:rPr>
              <w:t>Estonia</w:t>
            </w:r>
          </w:p>
        </w:tc>
        <w:tc>
          <w:tcPr>
            <w:tcW w:w="2411" w:type="dxa"/>
            <w:tcBorders>
              <w:left w:val="nil"/>
            </w:tcBorders>
            <w:shd w:val="clear" w:color="auto" w:fill="auto"/>
          </w:tcPr>
          <w:p w:rsidR="00E60955" w:rsidRPr="00924C77" w:rsidRDefault="00E60955" w:rsidP="00E614D4">
            <w:pPr>
              <w:spacing w:line="480" w:lineRule="auto"/>
              <w:rPr>
                <w:sz w:val="22"/>
                <w:szCs w:val="22"/>
                <w:lang w:val="en-GB"/>
              </w:rPr>
            </w:pPr>
            <w:r w:rsidRPr="00924C77">
              <w:rPr>
                <w:sz w:val="22"/>
                <w:szCs w:val="22"/>
                <w:lang w:val="en-GB"/>
              </w:rPr>
              <w:t>cross-sectional unlinked</w:t>
            </w:r>
          </w:p>
        </w:tc>
        <w:tc>
          <w:tcPr>
            <w:tcW w:w="3657"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1998–2002</w:t>
            </w:r>
          </w:p>
        </w:tc>
        <w:tc>
          <w:tcPr>
            <w:tcW w:w="2693"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national</w:t>
            </w:r>
          </w:p>
        </w:tc>
        <w:tc>
          <w:tcPr>
            <w:tcW w:w="2552" w:type="dxa"/>
            <w:shd w:val="clear" w:color="auto" w:fill="auto"/>
          </w:tcPr>
          <w:p w:rsidR="00E60955" w:rsidRPr="00924C77" w:rsidRDefault="00E60955" w:rsidP="00E614D4">
            <w:pPr>
              <w:spacing w:line="480" w:lineRule="auto"/>
              <w:rPr>
                <w:sz w:val="22"/>
                <w:szCs w:val="22"/>
                <w:lang w:val="en-GB"/>
              </w:rPr>
            </w:pPr>
            <w:r w:rsidRPr="00924C77">
              <w:rPr>
                <w:sz w:val="22"/>
                <w:szCs w:val="22"/>
                <w:lang w:val="en-GB"/>
              </w:rPr>
              <w:t>whole population</w:t>
            </w:r>
          </w:p>
        </w:tc>
      </w:tr>
    </w:tbl>
    <w:p w:rsidR="00E60955" w:rsidRDefault="00E60955" w:rsidP="00E614D4">
      <w:pPr>
        <w:pStyle w:val="Caption"/>
        <w:keepNext/>
        <w:spacing w:line="480" w:lineRule="auto"/>
        <w:rPr>
          <w:sz w:val="24"/>
          <w:szCs w:val="24"/>
          <w:lang w:val="en-GB"/>
        </w:rPr>
      </w:pPr>
    </w:p>
    <w:p w:rsidR="00E60955" w:rsidRPr="00B471C4" w:rsidRDefault="00E60955" w:rsidP="00E614D4">
      <w:pPr>
        <w:spacing w:line="480" w:lineRule="auto"/>
        <w:rPr>
          <w:lang w:val="en-GB"/>
        </w:rPr>
      </w:pPr>
    </w:p>
    <w:p w:rsidR="004957FD" w:rsidRDefault="004957FD" w:rsidP="00E614D4">
      <w:pPr>
        <w:pStyle w:val="Caption"/>
        <w:keepNext/>
        <w:spacing w:line="480" w:lineRule="auto"/>
        <w:rPr>
          <w:sz w:val="24"/>
          <w:szCs w:val="24"/>
          <w:lang w:val="en-GB"/>
        </w:rPr>
        <w:sectPr w:rsidR="004957FD" w:rsidSect="00A117E5">
          <w:pgSz w:w="16838" w:h="11906" w:orient="landscape"/>
          <w:pgMar w:top="1418" w:right="1418" w:bottom="1418" w:left="1418" w:header="709" w:footer="709" w:gutter="0"/>
          <w:cols w:space="708"/>
          <w:docGrid w:linePitch="360"/>
        </w:sectPr>
      </w:pPr>
    </w:p>
    <w:p w:rsidR="00E60955" w:rsidRPr="00367576" w:rsidRDefault="00E60955" w:rsidP="00E614D4">
      <w:pPr>
        <w:pStyle w:val="Caption"/>
        <w:keepNext/>
        <w:spacing w:line="480" w:lineRule="auto"/>
        <w:rPr>
          <w:sz w:val="24"/>
          <w:szCs w:val="24"/>
          <w:lang w:val="en-GB"/>
        </w:rPr>
      </w:pPr>
      <w:r>
        <w:rPr>
          <w:sz w:val="24"/>
          <w:szCs w:val="24"/>
          <w:lang w:val="en-GB"/>
        </w:rPr>
        <w:lastRenderedPageBreak/>
        <w:t>T</w:t>
      </w:r>
      <w:r w:rsidRPr="00367576">
        <w:rPr>
          <w:sz w:val="24"/>
          <w:szCs w:val="24"/>
          <w:lang w:val="en-GB"/>
        </w:rPr>
        <w:t xml:space="preserve">able </w:t>
      </w:r>
      <w:r w:rsidRPr="00367576">
        <w:rPr>
          <w:sz w:val="24"/>
          <w:szCs w:val="24"/>
          <w:lang w:val="en-GB"/>
        </w:rPr>
        <w:fldChar w:fldCharType="begin"/>
      </w:r>
      <w:r w:rsidRPr="00367576">
        <w:rPr>
          <w:sz w:val="24"/>
          <w:szCs w:val="24"/>
          <w:lang w:val="en-GB"/>
        </w:rPr>
        <w:instrText xml:space="preserve"> SEQ Table \* ARABIC </w:instrText>
      </w:r>
      <w:r w:rsidRPr="00367576">
        <w:rPr>
          <w:sz w:val="24"/>
          <w:szCs w:val="24"/>
          <w:lang w:val="en-GB"/>
        </w:rPr>
        <w:fldChar w:fldCharType="separate"/>
      </w:r>
      <w:r>
        <w:rPr>
          <w:noProof/>
          <w:sz w:val="24"/>
          <w:szCs w:val="24"/>
          <w:lang w:val="en-GB"/>
        </w:rPr>
        <w:t>2</w:t>
      </w:r>
      <w:r w:rsidRPr="00367576">
        <w:rPr>
          <w:sz w:val="24"/>
          <w:szCs w:val="24"/>
          <w:lang w:val="en-GB"/>
        </w:rPr>
        <w:fldChar w:fldCharType="end"/>
      </w:r>
      <w:r w:rsidRPr="00367576">
        <w:rPr>
          <w:sz w:val="24"/>
          <w:szCs w:val="24"/>
          <w:lang w:val="en-GB"/>
        </w:rPr>
        <w:t xml:space="preserve">: </w:t>
      </w:r>
      <w:r>
        <w:rPr>
          <w:noProof/>
          <w:sz w:val="24"/>
          <w:szCs w:val="24"/>
          <w:lang w:val="en-GB"/>
        </w:rPr>
        <w:t xml:space="preserve">Percentage reduction </w:t>
      </w:r>
      <w:r w:rsidRPr="00367576">
        <w:rPr>
          <w:noProof/>
          <w:sz w:val="24"/>
          <w:szCs w:val="24"/>
          <w:lang w:val="en-GB"/>
        </w:rPr>
        <w:t xml:space="preserve">in all-cause mortality </w:t>
      </w:r>
      <w:r>
        <w:rPr>
          <w:noProof/>
          <w:sz w:val="24"/>
          <w:szCs w:val="24"/>
          <w:lang w:val="en-GB"/>
        </w:rPr>
        <w:t xml:space="preserve">in the </w:t>
      </w:r>
      <w:r w:rsidRPr="00367576">
        <w:rPr>
          <w:noProof/>
          <w:sz w:val="24"/>
          <w:szCs w:val="24"/>
          <w:lang w:val="en-GB"/>
        </w:rPr>
        <w:t>cohort replacement and upward leveling scenario</w:t>
      </w:r>
      <w:r>
        <w:rPr>
          <w:noProof/>
          <w:sz w:val="24"/>
          <w:szCs w:val="24"/>
          <w:lang w:val="en-GB"/>
        </w:rPr>
        <w:t>s</w:t>
      </w:r>
      <w:r w:rsidRPr="00367576">
        <w:rPr>
          <w:sz w:val="24"/>
          <w:szCs w:val="24"/>
          <w:lang w:val="en-GB"/>
        </w:rPr>
        <w:t>, 30–79 years</w:t>
      </w:r>
    </w:p>
    <w:p w:rsidR="00E60955" w:rsidRPr="00367576" w:rsidRDefault="00E60955" w:rsidP="00E614D4">
      <w:pPr>
        <w:pStyle w:val="Caption"/>
        <w:keepNext/>
        <w:spacing w:line="480" w:lineRule="auto"/>
        <w:rPr>
          <w:sz w:val="6"/>
          <w:szCs w:val="6"/>
          <w:lang w:val="en-GB"/>
        </w:rPr>
      </w:pPr>
    </w:p>
    <w:tbl>
      <w:tblPr>
        <w:tblW w:w="14175" w:type="dxa"/>
        <w:tblInd w:w="55" w:type="dxa"/>
        <w:tblLayout w:type="fixed"/>
        <w:tblCellMar>
          <w:left w:w="70" w:type="dxa"/>
          <w:right w:w="70" w:type="dxa"/>
        </w:tblCellMar>
        <w:tblLook w:val="0000" w:firstRow="0" w:lastRow="0" w:firstColumn="0" w:lastColumn="0" w:noHBand="0" w:noVBand="0"/>
      </w:tblPr>
      <w:tblGrid>
        <w:gridCol w:w="2379"/>
        <w:gridCol w:w="1502"/>
        <w:gridCol w:w="1502"/>
        <w:gridCol w:w="1501"/>
        <w:gridCol w:w="1287"/>
        <w:gridCol w:w="1501"/>
        <w:gridCol w:w="1501"/>
        <w:gridCol w:w="1501"/>
        <w:gridCol w:w="1501"/>
      </w:tblGrid>
      <w:tr w:rsidR="00E60955" w:rsidRPr="005B6CCE" w:rsidTr="00A117E5">
        <w:trPr>
          <w:trHeight w:val="437"/>
        </w:trPr>
        <w:tc>
          <w:tcPr>
            <w:tcW w:w="2076" w:type="dxa"/>
            <w:vMerge w:val="restart"/>
            <w:tcBorders>
              <w:top w:val="single" w:sz="8" w:space="0" w:color="auto"/>
              <w:left w:val="single" w:sz="8" w:space="0" w:color="auto"/>
              <w:bottom w:val="nil"/>
              <w:right w:val="single" w:sz="8" w:space="0" w:color="auto"/>
            </w:tcBorders>
            <w:shd w:val="clear" w:color="auto" w:fill="auto"/>
            <w:vAlign w:val="center"/>
          </w:tcPr>
          <w:p w:rsidR="00E60955" w:rsidRPr="005B6CCE" w:rsidRDefault="00E60955" w:rsidP="00E614D4">
            <w:pPr>
              <w:spacing w:line="480" w:lineRule="auto"/>
              <w:rPr>
                <w:b/>
                <w:bCs/>
                <w:sz w:val="22"/>
                <w:szCs w:val="22"/>
                <w:lang w:val="en-GB"/>
              </w:rPr>
            </w:pPr>
            <w:r w:rsidRPr="005B6CCE">
              <w:rPr>
                <w:b/>
                <w:bCs/>
                <w:sz w:val="22"/>
                <w:szCs w:val="22"/>
                <w:lang w:val="en-GB"/>
              </w:rPr>
              <w:t>Country</w:t>
            </w:r>
          </w:p>
        </w:tc>
        <w:tc>
          <w:tcPr>
            <w:tcW w:w="5055" w:type="dxa"/>
            <w:gridSpan w:val="4"/>
            <w:tcBorders>
              <w:top w:val="single" w:sz="8" w:space="0" w:color="auto"/>
              <w:left w:val="nil"/>
              <w:bottom w:val="single" w:sz="4" w:space="0" w:color="auto"/>
              <w:right w:val="single" w:sz="8" w:space="0" w:color="000000"/>
            </w:tcBorders>
            <w:shd w:val="clear" w:color="auto" w:fill="auto"/>
            <w:noWrap/>
            <w:vAlign w:val="center"/>
          </w:tcPr>
          <w:p w:rsidR="00E60955" w:rsidRPr="005B6CCE" w:rsidRDefault="00E60955" w:rsidP="00E614D4">
            <w:pPr>
              <w:spacing w:line="480" w:lineRule="auto"/>
              <w:jc w:val="center"/>
              <w:rPr>
                <w:b/>
                <w:bCs/>
                <w:sz w:val="22"/>
                <w:szCs w:val="22"/>
                <w:lang w:val="en-GB"/>
              </w:rPr>
            </w:pPr>
            <w:r w:rsidRPr="005B6CCE">
              <w:rPr>
                <w:b/>
                <w:bCs/>
                <w:sz w:val="22"/>
                <w:szCs w:val="22"/>
                <w:lang w:val="en-GB"/>
              </w:rPr>
              <w:t>Cohort replacement scenario</w:t>
            </w:r>
          </w:p>
        </w:tc>
        <w:tc>
          <w:tcPr>
            <w:tcW w:w="5240" w:type="dxa"/>
            <w:gridSpan w:val="4"/>
            <w:tcBorders>
              <w:top w:val="single" w:sz="8" w:space="0" w:color="auto"/>
              <w:left w:val="nil"/>
              <w:bottom w:val="single" w:sz="4" w:space="0" w:color="auto"/>
              <w:right w:val="single" w:sz="4" w:space="0" w:color="auto"/>
            </w:tcBorders>
            <w:shd w:val="clear" w:color="auto" w:fill="auto"/>
            <w:noWrap/>
            <w:vAlign w:val="center"/>
          </w:tcPr>
          <w:p w:rsidR="00E60955" w:rsidRPr="005B6CCE" w:rsidRDefault="00E60955" w:rsidP="00E614D4">
            <w:pPr>
              <w:spacing w:line="480" w:lineRule="auto"/>
              <w:jc w:val="center"/>
              <w:rPr>
                <w:b/>
                <w:bCs/>
                <w:sz w:val="22"/>
                <w:szCs w:val="22"/>
                <w:lang w:val="en-GB"/>
              </w:rPr>
            </w:pPr>
            <w:r w:rsidRPr="005B6CCE">
              <w:rPr>
                <w:b/>
                <w:bCs/>
                <w:sz w:val="22"/>
                <w:szCs w:val="22"/>
                <w:lang w:val="en-GB"/>
              </w:rPr>
              <w:t>Upward levelling scenario</w:t>
            </w:r>
          </w:p>
        </w:tc>
      </w:tr>
      <w:tr w:rsidR="00E60955" w:rsidRPr="005B6CCE" w:rsidTr="00A117E5">
        <w:trPr>
          <w:trHeight w:val="315"/>
        </w:trPr>
        <w:tc>
          <w:tcPr>
            <w:tcW w:w="2076" w:type="dxa"/>
            <w:vMerge/>
            <w:tcBorders>
              <w:top w:val="single" w:sz="8" w:space="0" w:color="auto"/>
              <w:left w:val="single" w:sz="8" w:space="0" w:color="auto"/>
              <w:bottom w:val="nil"/>
              <w:right w:val="single" w:sz="8" w:space="0" w:color="auto"/>
            </w:tcBorders>
            <w:vAlign w:val="center"/>
          </w:tcPr>
          <w:p w:rsidR="00E60955" w:rsidRPr="005B6CCE" w:rsidRDefault="00E60955" w:rsidP="00E614D4">
            <w:pPr>
              <w:spacing w:line="480" w:lineRule="auto"/>
              <w:jc w:val="center"/>
              <w:rPr>
                <w:b/>
                <w:bCs/>
                <w:sz w:val="22"/>
                <w:szCs w:val="22"/>
                <w:lang w:val="en-GB"/>
              </w:rPr>
            </w:pPr>
          </w:p>
        </w:tc>
        <w:tc>
          <w:tcPr>
            <w:tcW w:w="2622" w:type="dxa"/>
            <w:gridSpan w:val="2"/>
            <w:tcBorders>
              <w:top w:val="single" w:sz="4" w:space="0" w:color="auto"/>
              <w:left w:val="nil"/>
              <w:bottom w:val="single" w:sz="4" w:space="0" w:color="auto"/>
              <w:right w:val="single" w:sz="8" w:space="0" w:color="000000"/>
            </w:tcBorders>
            <w:shd w:val="clear" w:color="auto" w:fill="auto"/>
            <w:noWrap/>
            <w:vAlign w:val="center"/>
          </w:tcPr>
          <w:p w:rsidR="00E60955" w:rsidRPr="005B6CCE" w:rsidRDefault="00E60955" w:rsidP="00E614D4">
            <w:pPr>
              <w:spacing w:line="480" w:lineRule="auto"/>
              <w:jc w:val="center"/>
              <w:rPr>
                <w:b/>
                <w:bCs/>
                <w:sz w:val="22"/>
                <w:szCs w:val="22"/>
                <w:lang w:val="en-GB"/>
              </w:rPr>
            </w:pPr>
            <w:r w:rsidRPr="005B6CCE">
              <w:rPr>
                <w:b/>
                <w:bCs/>
                <w:sz w:val="22"/>
                <w:szCs w:val="22"/>
                <w:lang w:val="en-GB"/>
              </w:rPr>
              <w:t>Men</w:t>
            </w:r>
          </w:p>
        </w:tc>
        <w:tc>
          <w:tcPr>
            <w:tcW w:w="2433" w:type="dxa"/>
            <w:gridSpan w:val="2"/>
            <w:tcBorders>
              <w:top w:val="single" w:sz="4" w:space="0" w:color="auto"/>
              <w:left w:val="nil"/>
              <w:bottom w:val="single" w:sz="4" w:space="0" w:color="auto"/>
              <w:right w:val="single" w:sz="8" w:space="0" w:color="000000"/>
            </w:tcBorders>
            <w:shd w:val="clear" w:color="auto" w:fill="auto"/>
            <w:noWrap/>
            <w:vAlign w:val="center"/>
          </w:tcPr>
          <w:p w:rsidR="00E60955" w:rsidRPr="005B6CCE" w:rsidRDefault="00E60955" w:rsidP="00E614D4">
            <w:pPr>
              <w:spacing w:line="480" w:lineRule="auto"/>
              <w:jc w:val="center"/>
              <w:rPr>
                <w:b/>
                <w:bCs/>
                <w:sz w:val="22"/>
                <w:szCs w:val="22"/>
                <w:lang w:val="en-GB"/>
              </w:rPr>
            </w:pPr>
            <w:r w:rsidRPr="005B6CCE">
              <w:rPr>
                <w:b/>
                <w:bCs/>
                <w:sz w:val="22"/>
                <w:szCs w:val="22"/>
                <w:lang w:val="en-GB"/>
              </w:rPr>
              <w:t>Women</w:t>
            </w:r>
          </w:p>
        </w:tc>
        <w:tc>
          <w:tcPr>
            <w:tcW w:w="2620" w:type="dxa"/>
            <w:gridSpan w:val="2"/>
            <w:tcBorders>
              <w:top w:val="single" w:sz="4" w:space="0" w:color="auto"/>
              <w:left w:val="nil"/>
              <w:bottom w:val="single" w:sz="4" w:space="0" w:color="auto"/>
              <w:right w:val="single" w:sz="8" w:space="0" w:color="000000"/>
            </w:tcBorders>
            <w:shd w:val="clear" w:color="auto" w:fill="auto"/>
            <w:noWrap/>
            <w:vAlign w:val="center"/>
          </w:tcPr>
          <w:p w:rsidR="00E60955" w:rsidRPr="005B6CCE" w:rsidRDefault="00E60955" w:rsidP="00E614D4">
            <w:pPr>
              <w:spacing w:line="480" w:lineRule="auto"/>
              <w:jc w:val="center"/>
              <w:rPr>
                <w:b/>
                <w:bCs/>
                <w:sz w:val="22"/>
                <w:szCs w:val="22"/>
                <w:lang w:val="en-GB"/>
              </w:rPr>
            </w:pPr>
            <w:r w:rsidRPr="005B6CCE">
              <w:rPr>
                <w:b/>
                <w:bCs/>
                <w:sz w:val="22"/>
                <w:szCs w:val="22"/>
                <w:lang w:val="en-GB"/>
              </w:rPr>
              <w:t>Men</w:t>
            </w:r>
          </w:p>
        </w:tc>
        <w:tc>
          <w:tcPr>
            <w:tcW w:w="2620" w:type="dxa"/>
            <w:gridSpan w:val="2"/>
            <w:tcBorders>
              <w:top w:val="single" w:sz="4" w:space="0" w:color="auto"/>
              <w:left w:val="nil"/>
              <w:bottom w:val="single" w:sz="4" w:space="0" w:color="auto"/>
              <w:right w:val="single" w:sz="4" w:space="0" w:color="auto"/>
            </w:tcBorders>
            <w:shd w:val="clear" w:color="auto" w:fill="auto"/>
            <w:noWrap/>
            <w:vAlign w:val="center"/>
          </w:tcPr>
          <w:p w:rsidR="00E60955" w:rsidRPr="005B6CCE" w:rsidRDefault="00E60955" w:rsidP="00E614D4">
            <w:pPr>
              <w:spacing w:line="480" w:lineRule="auto"/>
              <w:jc w:val="center"/>
              <w:rPr>
                <w:b/>
                <w:bCs/>
                <w:sz w:val="22"/>
                <w:szCs w:val="22"/>
                <w:lang w:val="en-GB"/>
              </w:rPr>
            </w:pPr>
            <w:r w:rsidRPr="005B6CCE">
              <w:rPr>
                <w:b/>
                <w:bCs/>
                <w:sz w:val="22"/>
                <w:szCs w:val="22"/>
                <w:lang w:val="en-GB"/>
              </w:rPr>
              <w:t>Women</w:t>
            </w:r>
          </w:p>
        </w:tc>
      </w:tr>
      <w:tr w:rsidR="00E60955" w:rsidRPr="005B6CCE" w:rsidTr="00A117E5">
        <w:trPr>
          <w:trHeight w:val="285"/>
        </w:trPr>
        <w:tc>
          <w:tcPr>
            <w:tcW w:w="2076" w:type="dxa"/>
            <w:tcBorders>
              <w:top w:val="nil"/>
              <w:left w:val="single" w:sz="8" w:space="0" w:color="auto"/>
              <w:bottom w:val="single" w:sz="4" w:space="0" w:color="auto"/>
              <w:right w:val="single" w:sz="8" w:space="0" w:color="auto"/>
            </w:tcBorders>
            <w:shd w:val="clear" w:color="auto" w:fill="auto"/>
            <w:vAlign w:val="bottom"/>
          </w:tcPr>
          <w:p w:rsidR="00E60955" w:rsidRPr="005B6CCE" w:rsidRDefault="00E60955" w:rsidP="00E614D4">
            <w:pPr>
              <w:spacing w:line="480" w:lineRule="auto"/>
              <w:rPr>
                <w:b/>
                <w:bCs/>
                <w:sz w:val="22"/>
                <w:szCs w:val="22"/>
                <w:lang w:val="en-GB"/>
              </w:rPr>
            </w:pPr>
            <w:r w:rsidRPr="005B6CCE">
              <w:rPr>
                <w:b/>
                <w:bCs/>
                <w:sz w:val="22"/>
                <w:szCs w:val="22"/>
                <w:lang w:val="en-GB"/>
              </w:rPr>
              <w:t> </w:t>
            </w:r>
          </w:p>
        </w:tc>
        <w:tc>
          <w:tcPr>
            <w:tcW w:w="1311" w:type="dxa"/>
            <w:tcBorders>
              <w:top w:val="single" w:sz="4" w:space="0" w:color="auto"/>
              <w:left w:val="nil"/>
              <w:bottom w:val="single" w:sz="4" w:space="0" w:color="auto"/>
              <w:right w:val="nil"/>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Proportional reduction</w:t>
            </w:r>
          </w:p>
          <w:p w:rsidR="00E60955" w:rsidRPr="005B6CCE" w:rsidRDefault="00E60955" w:rsidP="00E614D4">
            <w:pPr>
              <w:spacing w:line="480" w:lineRule="auto"/>
              <w:jc w:val="center"/>
              <w:rPr>
                <w:b/>
                <w:bCs/>
                <w:sz w:val="22"/>
                <w:szCs w:val="22"/>
                <w:lang w:val="en-GB"/>
              </w:rPr>
            </w:pPr>
            <w:r w:rsidRPr="005B6CCE">
              <w:rPr>
                <w:b/>
                <w:bCs/>
                <w:sz w:val="22"/>
                <w:szCs w:val="22"/>
                <w:lang w:val="en-GB"/>
              </w:rPr>
              <w:t xml:space="preserve"> (in %)</w:t>
            </w:r>
          </w:p>
        </w:tc>
        <w:tc>
          <w:tcPr>
            <w:tcW w:w="1311" w:type="dxa"/>
            <w:tcBorders>
              <w:top w:val="single" w:sz="4" w:space="0" w:color="auto"/>
              <w:left w:val="nil"/>
              <w:bottom w:val="single" w:sz="4" w:space="0" w:color="auto"/>
              <w:right w:val="single" w:sz="8" w:space="0" w:color="auto"/>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95%-CI</w:t>
            </w:r>
          </w:p>
        </w:tc>
        <w:tc>
          <w:tcPr>
            <w:tcW w:w="1310" w:type="dxa"/>
            <w:tcBorders>
              <w:top w:val="single" w:sz="4" w:space="0" w:color="auto"/>
              <w:left w:val="nil"/>
              <w:bottom w:val="single" w:sz="4" w:space="0" w:color="auto"/>
              <w:right w:val="nil"/>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Proportional reduction</w:t>
            </w:r>
          </w:p>
          <w:p w:rsidR="00E60955" w:rsidRPr="005B6CCE" w:rsidRDefault="00E60955" w:rsidP="00E614D4">
            <w:pPr>
              <w:spacing w:line="480" w:lineRule="auto"/>
              <w:jc w:val="center"/>
              <w:rPr>
                <w:b/>
                <w:bCs/>
                <w:sz w:val="22"/>
                <w:szCs w:val="22"/>
                <w:lang w:val="en-GB"/>
              </w:rPr>
            </w:pPr>
            <w:r w:rsidRPr="005B6CCE">
              <w:rPr>
                <w:b/>
                <w:bCs/>
                <w:sz w:val="22"/>
                <w:szCs w:val="22"/>
                <w:lang w:val="en-GB"/>
              </w:rPr>
              <w:t xml:space="preserve"> (in %)</w:t>
            </w:r>
          </w:p>
        </w:tc>
        <w:tc>
          <w:tcPr>
            <w:tcW w:w="1123" w:type="dxa"/>
            <w:tcBorders>
              <w:top w:val="single" w:sz="4" w:space="0" w:color="auto"/>
              <w:left w:val="nil"/>
              <w:bottom w:val="single" w:sz="4" w:space="0" w:color="auto"/>
              <w:right w:val="single" w:sz="8" w:space="0" w:color="auto"/>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95%-CI</w:t>
            </w:r>
          </w:p>
        </w:tc>
        <w:tc>
          <w:tcPr>
            <w:tcW w:w="1310" w:type="dxa"/>
            <w:tcBorders>
              <w:top w:val="single" w:sz="4" w:space="0" w:color="auto"/>
              <w:left w:val="nil"/>
              <w:bottom w:val="single" w:sz="4" w:space="0" w:color="auto"/>
              <w:right w:val="nil"/>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 xml:space="preserve">Proportional reduction </w:t>
            </w:r>
          </w:p>
          <w:p w:rsidR="00E60955" w:rsidRPr="005B6CCE" w:rsidRDefault="00E60955" w:rsidP="00E614D4">
            <w:pPr>
              <w:spacing w:line="480" w:lineRule="auto"/>
              <w:jc w:val="center"/>
              <w:rPr>
                <w:b/>
                <w:bCs/>
                <w:sz w:val="22"/>
                <w:szCs w:val="22"/>
                <w:lang w:val="en-GB"/>
              </w:rPr>
            </w:pPr>
            <w:r w:rsidRPr="005B6CCE">
              <w:rPr>
                <w:b/>
                <w:bCs/>
                <w:sz w:val="22"/>
                <w:szCs w:val="22"/>
                <w:lang w:val="en-GB"/>
              </w:rPr>
              <w:t>(in %)</w:t>
            </w:r>
          </w:p>
        </w:tc>
        <w:tc>
          <w:tcPr>
            <w:tcW w:w="1310" w:type="dxa"/>
            <w:tcBorders>
              <w:top w:val="single" w:sz="4" w:space="0" w:color="auto"/>
              <w:left w:val="nil"/>
              <w:bottom w:val="single" w:sz="4" w:space="0" w:color="auto"/>
              <w:right w:val="single" w:sz="8" w:space="0" w:color="auto"/>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95%-CI</w:t>
            </w:r>
          </w:p>
        </w:tc>
        <w:tc>
          <w:tcPr>
            <w:tcW w:w="1310" w:type="dxa"/>
            <w:tcBorders>
              <w:top w:val="single" w:sz="4" w:space="0" w:color="auto"/>
              <w:left w:val="nil"/>
              <w:bottom w:val="single" w:sz="4" w:space="0" w:color="auto"/>
              <w:right w:val="nil"/>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 xml:space="preserve">Proportional reduction </w:t>
            </w:r>
          </w:p>
          <w:p w:rsidR="00E60955" w:rsidRPr="005B6CCE" w:rsidRDefault="00E60955" w:rsidP="00E614D4">
            <w:pPr>
              <w:spacing w:line="480" w:lineRule="auto"/>
              <w:jc w:val="center"/>
              <w:rPr>
                <w:b/>
                <w:bCs/>
                <w:sz w:val="22"/>
                <w:szCs w:val="22"/>
                <w:lang w:val="en-GB"/>
              </w:rPr>
            </w:pPr>
            <w:r w:rsidRPr="005B6CCE">
              <w:rPr>
                <w:b/>
                <w:bCs/>
                <w:sz w:val="22"/>
                <w:szCs w:val="22"/>
                <w:lang w:val="en-GB"/>
              </w:rPr>
              <w:t>(in %)</w:t>
            </w:r>
          </w:p>
        </w:tc>
        <w:tc>
          <w:tcPr>
            <w:tcW w:w="1310" w:type="dxa"/>
            <w:tcBorders>
              <w:top w:val="single" w:sz="4" w:space="0" w:color="auto"/>
              <w:left w:val="nil"/>
              <w:bottom w:val="single" w:sz="4" w:space="0" w:color="auto"/>
              <w:right w:val="single" w:sz="4" w:space="0" w:color="auto"/>
            </w:tcBorders>
            <w:shd w:val="clear" w:color="auto" w:fill="auto"/>
            <w:noWrap/>
            <w:vAlign w:val="bottom"/>
          </w:tcPr>
          <w:p w:rsidR="00E60955" w:rsidRPr="005B6CCE" w:rsidRDefault="00E60955" w:rsidP="00E614D4">
            <w:pPr>
              <w:spacing w:line="480" w:lineRule="auto"/>
              <w:jc w:val="center"/>
              <w:rPr>
                <w:b/>
                <w:bCs/>
                <w:sz w:val="22"/>
                <w:szCs w:val="22"/>
                <w:lang w:val="en-GB"/>
              </w:rPr>
            </w:pPr>
            <w:r w:rsidRPr="005B6CCE">
              <w:rPr>
                <w:b/>
                <w:bCs/>
                <w:sz w:val="22"/>
                <w:szCs w:val="22"/>
                <w:lang w:val="en-GB"/>
              </w:rPr>
              <w:t>95%-CI</w:t>
            </w:r>
          </w:p>
        </w:tc>
      </w:tr>
      <w:tr w:rsidR="00E60955" w:rsidRPr="005B6CCE" w:rsidTr="00A117E5">
        <w:trPr>
          <w:trHeight w:val="300"/>
        </w:trPr>
        <w:tc>
          <w:tcPr>
            <w:tcW w:w="2076" w:type="dxa"/>
            <w:tcBorders>
              <w:top w:val="single" w:sz="4" w:space="0" w:color="auto"/>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Finland</w:t>
            </w:r>
          </w:p>
        </w:tc>
        <w:tc>
          <w:tcPr>
            <w:tcW w:w="1311" w:type="dxa"/>
            <w:tcBorders>
              <w:top w:val="single" w:sz="4" w:space="0" w:color="auto"/>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6.0</w:t>
            </w:r>
          </w:p>
        </w:tc>
        <w:tc>
          <w:tcPr>
            <w:tcW w:w="1311" w:type="dxa"/>
            <w:tcBorders>
              <w:top w:val="single" w:sz="4" w:space="0" w:color="auto"/>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w:t>
            </w:r>
            <w:r>
              <w:rPr>
                <w:sz w:val="22"/>
                <w:szCs w:val="22"/>
                <w:lang w:val="en-GB"/>
              </w:rPr>
              <w:t>8</w:t>
            </w:r>
            <w:r w:rsidRPr="005B6CCE">
              <w:rPr>
                <w:sz w:val="22"/>
                <w:szCs w:val="22"/>
                <w:lang w:val="en-GB"/>
              </w:rPr>
              <w:t>–6.3)</w:t>
            </w:r>
          </w:p>
        </w:tc>
        <w:tc>
          <w:tcPr>
            <w:tcW w:w="1310" w:type="dxa"/>
            <w:tcBorders>
              <w:top w:val="single" w:sz="4" w:space="0" w:color="auto"/>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9.0</w:t>
            </w:r>
          </w:p>
        </w:tc>
        <w:tc>
          <w:tcPr>
            <w:tcW w:w="1123" w:type="dxa"/>
            <w:tcBorders>
              <w:top w:val="single" w:sz="4" w:space="0" w:color="auto"/>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(8.6–9.4)</w:t>
            </w:r>
          </w:p>
        </w:tc>
        <w:tc>
          <w:tcPr>
            <w:tcW w:w="1310" w:type="dxa"/>
            <w:tcBorders>
              <w:top w:val="single" w:sz="4" w:space="0" w:color="auto"/>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37.2</w:t>
            </w:r>
          </w:p>
        </w:tc>
        <w:tc>
          <w:tcPr>
            <w:tcW w:w="1310" w:type="dxa"/>
            <w:tcBorders>
              <w:top w:val="single" w:sz="4" w:space="0" w:color="auto"/>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(36.1–38.1)</w:t>
            </w:r>
          </w:p>
        </w:tc>
        <w:tc>
          <w:tcPr>
            <w:tcW w:w="1310" w:type="dxa"/>
            <w:tcBorders>
              <w:top w:val="single" w:sz="4" w:space="0" w:color="auto"/>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30.0</w:t>
            </w:r>
          </w:p>
        </w:tc>
        <w:tc>
          <w:tcPr>
            <w:tcW w:w="1310" w:type="dxa"/>
            <w:tcBorders>
              <w:top w:val="single" w:sz="4" w:space="0" w:color="auto"/>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(28.</w:t>
            </w:r>
            <w:r>
              <w:rPr>
                <w:sz w:val="22"/>
                <w:szCs w:val="22"/>
                <w:lang w:val="en-GB"/>
              </w:rPr>
              <w:t>4</w:t>
            </w:r>
            <w:r w:rsidRPr="005B6CCE">
              <w:rPr>
                <w:sz w:val="22"/>
                <w:szCs w:val="22"/>
                <w:lang w:val="en-GB"/>
              </w:rPr>
              <w:t>–31.</w:t>
            </w:r>
            <w:r>
              <w:rPr>
                <w:sz w:val="22"/>
                <w:szCs w:val="22"/>
                <w:lang w:val="en-GB"/>
              </w:rPr>
              <w:t>7</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Sweden</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2</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(4.0–4.</w:t>
            </w:r>
            <w:r>
              <w:rPr>
                <w:sz w:val="22"/>
                <w:szCs w:val="22"/>
                <w:lang w:val="en-GB"/>
              </w:rPr>
              <w:t>4</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w:t>
            </w:r>
            <w:r>
              <w:rPr>
                <w:sz w:val="22"/>
                <w:szCs w:val="22"/>
                <w:lang w:val="en-GB"/>
              </w:rPr>
              <w:t>3</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w:t>
            </w:r>
            <w:r>
              <w:rPr>
                <w:sz w:val="22"/>
                <w:szCs w:val="22"/>
                <w:lang w:val="en-GB"/>
              </w:rPr>
              <w:t>1</w:t>
            </w:r>
            <w:r w:rsidRPr="005B6CCE">
              <w:rPr>
                <w:sz w:val="22"/>
                <w:szCs w:val="22"/>
                <w:lang w:val="en-GB"/>
              </w:rPr>
              <w:t>–6.</w:t>
            </w:r>
            <w:r>
              <w:rPr>
                <w:sz w:val="22"/>
                <w:szCs w:val="22"/>
                <w:lang w:val="en-GB"/>
              </w:rPr>
              <w:t>6</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33.2</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32.1</w:t>
            </w:r>
            <w:r w:rsidRPr="005B6CCE">
              <w:rPr>
                <w:sz w:val="22"/>
                <w:szCs w:val="22"/>
                <w:lang w:val="en-GB"/>
              </w:rPr>
              <w:t>–</w:t>
            </w:r>
            <w:r>
              <w:rPr>
                <w:sz w:val="22"/>
                <w:szCs w:val="22"/>
                <w:lang w:val="en-GB"/>
              </w:rPr>
              <w:t>34.2</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31.8</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30.4</w:t>
            </w:r>
            <w:r w:rsidRPr="005B6CCE">
              <w:rPr>
                <w:sz w:val="22"/>
                <w:szCs w:val="22"/>
                <w:lang w:val="en-GB"/>
              </w:rPr>
              <w:t>–33.</w:t>
            </w:r>
            <w:r>
              <w:rPr>
                <w:sz w:val="22"/>
                <w:szCs w:val="22"/>
                <w:lang w:val="en-GB"/>
              </w:rPr>
              <w:t>2</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Norway</w:t>
            </w:r>
          </w:p>
        </w:tc>
        <w:tc>
          <w:tcPr>
            <w:tcW w:w="1311" w:type="dxa"/>
            <w:tcBorders>
              <w:top w:val="nil"/>
              <w:left w:val="nil"/>
              <w:bottom w:val="nil"/>
              <w:right w:val="nil"/>
            </w:tcBorders>
            <w:shd w:val="clear" w:color="auto" w:fill="auto"/>
            <w:noWrap/>
            <w:vAlign w:val="bottom"/>
          </w:tcPr>
          <w:p w:rsidR="00E60955" w:rsidRPr="009B3BE8" w:rsidRDefault="00E60955" w:rsidP="00E614D4">
            <w:pPr>
              <w:spacing w:line="480" w:lineRule="auto"/>
              <w:jc w:val="center"/>
              <w:rPr>
                <w:sz w:val="22"/>
                <w:szCs w:val="22"/>
                <w:lang w:val="en-GB"/>
              </w:rPr>
            </w:pPr>
            <w:r w:rsidRPr="009B3BE8">
              <w:rPr>
                <w:sz w:val="22"/>
                <w:szCs w:val="22"/>
                <w:lang w:val="en-GB"/>
              </w:rPr>
              <w:t>5.</w:t>
            </w:r>
            <w:r>
              <w:rPr>
                <w:sz w:val="22"/>
                <w:szCs w:val="22"/>
                <w:lang w:val="en-GB"/>
              </w:rPr>
              <w:t>6</w:t>
            </w:r>
          </w:p>
        </w:tc>
        <w:tc>
          <w:tcPr>
            <w:tcW w:w="1311" w:type="dxa"/>
            <w:tcBorders>
              <w:top w:val="nil"/>
              <w:left w:val="nil"/>
              <w:bottom w:val="nil"/>
              <w:right w:val="single" w:sz="8" w:space="0" w:color="auto"/>
            </w:tcBorders>
            <w:shd w:val="clear" w:color="auto" w:fill="auto"/>
            <w:noWrap/>
            <w:vAlign w:val="bottom"/>
          </w:tcPr>
          <w:p w:rsidR="00E60955" w:rsidRPr="009B3BE8" w:rsidRDefault="00E60955" w:rsidP="00E614D4">
            <w:pPr>
              <w:spacing w:line="480" w:lineRule="auto"/>
              <w:jc w:val="center"/>
              <w:rPr>
                <w:sz w:val="22"/>
                <w:szCs w:val="22"/>
                <w:lang w:val="en-GB"/>
              </w:rPr>
            </w:pPr>
            <w:r w:rsidRPr="009B3BE8">
              <w:rPr>
                <w:sz w:val="22"/>
                <w:szCs w:val="22"/>
                <w:lang w:val="en-GB"/>
              </w:rPr>
              <w:t>(5.</w:t>
            </w:r>
            <w:r>
              <w:rPr>
                <w:sz w:val="22"/>
                <w:szCs w:val="22"/>
                <w:lang w:val="en-GB"/>
              </w:rPr>
              <w:t>4</w:t>
            </w:r>
            <w:r w:rsidRPr="009B3BE8">
              <w:rPr>
                <w:sz w:val="22"/>
                <w:szCs w:val="22"/>
                <w:lang w:val="en-GB"/>
              </w:rPr>
              <w:t>–5.</w:t>
            </w:r>
            <w:r>
              <w:rPr>
                <w:sz w:val="22"/>
                <w:szCs w:val="22"/>
                <w:lang w:val="en-GB"/>
              </w:rPr>
              <w:t>9</w:t>
            </w:r>
            <w:r w:rsidRPr="009B3BE8">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w:t>
            </w:r>
            <w:r>
              <w:rPr>
                <w:sz w:val="22"/>
                <w:szCs w:val="22"/>
                <w:lang w:val="en-GB"/>
              </w:rPr>
              <w:t>8</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w:t>
            </w:r>
            <w:r>
              <w:rPr>
                <w:sz w:val="22"/>
                <w:szCs w:val="22"/>
                <w:lang w:val="en-GB"/>
              </w:rPr>
              <w:t>4</w:t>
            </w:r>
            <w:r w:rsidRPr="005B6CCE">
              <w:rPr>
                <w:sz w:val="22"/>
                <w:szCs w:val="22"/>
                <w:lang w:val="en-GB"/>
              </w:rPr>
              <w:t>–8.</w:t>
            </w:r>
            <w:r>
              <w:rPr>
                <w:sz w:val="22"/>
                <w:szCs w:val="22"/>
                <w:lang w:val="en-GB"/>
              </w:rPr>
              <w:t>2</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36.</w:t>
            </w:r>
            <w:r>
              <w:rPr>
                <w:sz w:val="22"/>
                <w:szCs w:val="22"/>
                <w:lang w:val="en-GB"/>
              </w:rPr>
              <w:t>7</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35.1</w:t>
            </w:r>
            <w:r w:rsidRPr="005B6CCE">
              <w:rPr>
                <w:sz w:val="22"/>
                <w:szCs w:val="22"/>
                <w:lang w:val="en-GB"/>
              </w:rPr>
              <w:t>–</w:t>
            </w:r>
            <w:r>
              <w:rPr>
                <w:sz w:val="22"/>
                <w:szCs w:val="22"/>
                <w:lang w:val="en-GB"/>
              </w:rPr>
              <w:t>38.3</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33.4</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31.0</w:t>
            </w:r>
            <w:r w:rsidRPr="005B6CCE">
              <w:rPr>
                <w:sz w:val="22"/>
                <w:szCs w:val="22"/>
                <w:lang w:val="en-GB"/>
              </w:rPr>
              <w:t>–</w:t>
            </w:r>
            <w:r>
              <w:rPr>
                <w:sz w:val="22"/>
                <w:szCs w:val="22"/>
                <w:lang w:val="en-GB"/>
              </w:rPr>
              <w:t>35.6</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Denmark</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w:t>
            </w:r>
            <w:r>
              <w:rPr>
                <w:sz w:val="22"/>
                <w:szCs w:val="22"/>
                <w:lang w:val="en-GB"/>
              </w:rPr>
              <w:t>9</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w:t>
            </w:r>
            <w:r>
              <w:rPr>
                <w:sz w:val="22"/>
                <w:szCs w:val="22"/>
                <w:lang w:val="en-GB"/>
              </w:rPr>
              <w:t>8</w:t>
            </w:r>
            <w:r w:rsidRPr="005B6CCE">
              <w:rPr>
                <w:sz w:val="22"/>
                <w:szCs w:val="22"/>
                <w:lang w:val="en-GB"/>
              </w:rPr>
              <w:t>–</w:t>
            </w:r>
            <w:r>
              <w:rPr>
                <w:sz w:val="22"/>
                <w:szCs w:val="22"/>
                <w:lang w:val="en-GB"/>
              </w:rPr>
              <w:t>2.0</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5.0</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(4.7–5.</w:t>
            </w:r>
            <w:r>
              <w:rPr>
                <w:sz w:val="22"/>
                <w:szCs w:val="22"/>
                <w:lang w:val="en-GB"/>
              </w:rPr>
              <w:t>2</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33.2</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31.9</w:t>
            </w:r>
            <w:r w:rsidRPr="005B6CCE">
              <w:rPr>
                <w:sz w:val="22"/>
                <w:szCs w:val="22"/>
                <w:lang w:val="en-GB"/>
              </w:rPr>
              <w:t>–</w:t>
            </w:r>
            <w:r>
              <w:rPr>
                <w:sz w:val="22"/>
                <w:szCs w:val="22"/>
                <w:lang w:val="en-GB"/>
              </w:rPr>
              <w:t>34.4</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w:t>
            </w:r>
            <w:r>
              <w:rPr>
                <w:sz w:val="22"/>
                <w:szCs w:val="22"/>
                <w:lang w:val="en-GB"/>
              </w:rPr>
              <w:t>.6</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(28.</w:t>
            </w:r>
            <w:r>
              <w:rPr>
                <w:sz w:val="22"/>
                <w:szCs w:val="22"/>
                <w:lang w:val="en-GB"/>
              </w:rPr>
              <w:t>7</w:t>
            </w:r>
            <w:r w:rsidRPr="005B6CCE">
              <w:rPr>
                <w:sz w:val="22"/>
                <w:szCs w:val="22"/>
                <w:lang w:val="en-GB"/>
              </w:rPr>
              <w:t>–32.</w:t>
            </w:r>
            <w:r>
              <w:rPr>
                <w:sz w:val="22"/>
                <w:szCs w:val="22"/>
                <w:lang w:val="en-GB"/>
              </w:rPr>
              <w:t>4</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BD2F47" w:rsidP="00E614D4">
            <w:pPr>
              <w:spacing w:line="480" w:lineRule="auto"/>
              <w:rPr>
                <w:b/>
                <w:bCs/>
                <w:sz w:val="22"/>
                <w:szCs w:val="22"/>
                <w:lang w:val="en-GB"/>
              </w:rPr>
            </w:pPr>
            <w:r>
              <w:rPr>
                <w:b/>
                <w:bCs/>
                <w:sz w:val="22"/>
                <w:szCs w:val="22"/>
                <w:lang w:val="en-GB"/>
              </w:rPr>
              <w:t xml:space="preserve">England &amp; </w:t>
            </w:r>
            <w:r w:rsidR="00E60955" w:rsidRPr="005B6CCE">
              <w:rPr>
                <w:b/>
                <w:bCs/>
                <w:sz w:val="22"/>
                <w:szCs w:val="22"/>
                <w:lang w:val="en-GB"/>
              </w:rPr>
              <w:t>Wales</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3.1</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(2.7–3.</w:t>
            </w:r>
            <w:r>
              <w:rPr>
                <w:sz w:val="22"/>
                <w:szCs w:val="22"/>
                <w:lang w:val="en-GB"/>
              </w:rPr>
              <w:t>5</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4.3</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w:t>
            </w:r>
            <w:r>
              <w:rPr>
                <w:sz w:val="22"/>
                <w:szCs w:val="22"/>
                <w:lang w:val="en-GB"/>
              </w:rPr>
              <w:t>6</w:t>
            </w:r>
            <w:r w:rsidRPr="005B6CCE">
              <w:rPr>
                <w:sz w:val="22"/>
                <w:szCs w:val="22"/>
                <w:lang w:val="en-GB"/>
              </w:rPr>
              <w:t>–4.9)</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31.5</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(26.9–36.2)</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29.6</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(23.</w:t>
            </w:r>
            <w:r>
              <w:rPr>
                <w:sz w:val="22"/>
                <w:szCs w:val="22"/>
                <w:lang w:val="en-GB"/>
              </w:rPr>
              <w:t>9</w:t>
            </w:r>
            <w:r w:rsidRPr="005B6CCE">
              <w:rPr>
                <w:sz w:val="22"/>
                <w:szCs w:val="22"/>
                <w:lang w:val="en-GB"/>
              </w:rPr>
              <w:t>–35.</w:t>
            </w:r>
            <w:r>
              <w:rPr>
                <w:sz w:val="22"/>
                <w:szCs w:val="22"/>
                <w:lang w:val="en-GB"/>
              </w:rPr>
              <w:t>4</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Scotland</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6.3</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(5.1–7.4)</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8.9</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(7.5–10.</w:t>
            </w:r>
            <w:r>
              <w:rPr>
                <w:sz w:val="22"/>
                <w:szCs w:val="22"/>
                <w:lang w:val="en-GB"/>
              </w:rPr>
              <w:t>4</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38.5</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(33.</w:t>
            </w:r>
            <w:r>
              <w:rPr>
                <w:sz w:val="22"/>
                <w:szCs w:val="22"/>
                <w:lang w:val="en-GB"/>
              </w:rPr>
              <w:t>6</w:t>
            </w:r>
            <w:r w:rsidRPr="005B6CCE">
              <w:rPr>
                <w:sz w:val="22"/>
                <w:szCs w:val="22"/>
                <w:lang w:val="en-GB"/>
              </w:rPr>
              <w:t>–43.</w:t>
            </w:r>
            <w:r>
              <w:rPr>
                <w:sz w:val="22"/>
                <w:szCs w:val="22"/>
                <w:lang w:val="en-GB"/>
              </w:rPr>
              <w:t>2</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35.3</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(28.7–41.6)</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Netherlands</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2.1</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(1.8–2.4)</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4.6</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(3.8–5.5)</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30.5</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(26.</w:t>
            </w:r>
            <w:r>
              <w:rPr>
                <w:sz w:val="22"/>
                <w:szCs w:val="22"/>
                <w:lang w:val="en-GB"/>
              </w:rPr>
              <w:t>2</w:t>
            </w:r>
            <w:r w:rsidRPr="005B6CCE">
              <w:rPr>
                <w:sz w:val="22"/>
                <w:szCs w:val="22"/>
                <w:lang w:val="en-GB"/>
              </w:rPr>
              <w:t>–34.</w:t>
            </w:r>
            <w:r>
              <w:rPr>
                <w:sz w:val="22"/>
                <w:szCs w:val="22"/>
                <w:lang w:val="en-GB"/>
              </w:rPr>
              <w:t>7</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25.7</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16.2</w:t>
            </w:r>
            <w:r w:rsidRPr="005B6CCE">
              <w:rPr>
                <w:sz w:val="22"/>
                <w:szCs w:val="22"/>
                <w:lang w:val="en-GB"/>
              </w:rPr>
              <w:t>–34.</w:t>
            </w:r>
            <w:r>
              <w:rPr>
                <w:sz w:val="22"/>
                <w:szCs w:val="22"/>
                <w:lang w:val="en-GB"/>
              </w:rPr>
              <w:t>0</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Belgium</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5.0</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9</w:t>
            </w:r>
            <w:r w:rsidRPr="005B6CCE">
              <w:rPr>
                <w:sz w:val="22"/>
                <w:szCs w:val="22"/>
                <w:lang w:val="en-GB"/>
              </w:rPr>
              <w:t>–5.</w:t>
            </w:r>
            <w:r>
              <w:rPr>
                <w:sz w:val="22"/>
                <w:szCs w:val="22"/>
                <w:lang w:val="en-GB"/>
              </w:rPr>
              <w:t>2</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w:t>
            </w:r>
            <w:r>
              <w:rPr>
                <w:sz w:val="22"/>
                <w:szCs w:val="22"/>
                <w:lang w:val="en-GB"/>
              </w:rPr>
              <w:t>5</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(5.2–5.</w:t>
            </w:r>
            <w:r>
              <w:rPr>
                <w:sz w:val="22"/>
                <w:szCs w:val="22"/>
                <w:lang w:val="en-GB"/>
              </w:rPr>
              <w:t>8</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34.6</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33.5</w:t>
            </w:r>
            <w:r w:rsidRPr="005B6CCE">
              <w:rPr>
                <w:sz w:val="22"/>
                <w:szCs w:val="22"/>
                <w:lang w:val="en-GB"/>
              </w:rPr>
              <w:t>–</w:t>
            </w:r>
            <w:r>
              <w:rPr>
                <w:sz w:val="22"/>
                <w:szCs w:val="22"/>
                <w:lang w:val="en-GB"/>
              </w:rPr>
              <w:t>35.7</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30.7</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(29.</w:t>
            </w:r>
            <w:r>
              <w:rPr>
                <w:sz w:val="22"/>
                <w:szCs w:val="22"/>
                <w:lang w:val="en-GB"/>
              </w:rPr>
              <w:t>0</w:t>
            </w:r>
            <w:r w:rsidRPr="005B6CCE">
              <w:rPr>
                <w:sz w:val="22"/>
                <w:szCs w:val="22"/>
                <w:lang w:val="en-GB"/>
              </w:rPr>
              <w:t>–32.</w:t>
            </w:r>
            <w:r>
              <w:rPr>
                <w:sz w:val="22"/>
                <w:szCs w:val="22"/>
                <w:lang w:val="en-GB"/>
              </w:rPr>
              <w:t>4</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France</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6.0</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w:t>
            </w:r>
            <w:r>
              <w:rPr>
                <w:sz w:val="22"/>
                <w:szCs w:val="22"/>
                <w:lang w:val="en-GB"/>
              </w:rPr>
              <w:t>3</w:t>
            </w:r>
            <w:r w:rsidRPr="005B6CCE">
              <w:rPr>
                <w:sz w:val="22"/>
                <w:szCs w:val="22"/>
                <w:lang w:val="en-GB"/>
              </w:rPr>
              <w:t>–6.6)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6.1</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8</w:t>
            </w:r>
            <w:r w:rsidRPr="005B6CCE">
              <w:rPr>
                <w:sz w:val="22"/>
                <w:szCs w:val="22"/>
                <w:lang w:val="en-GB"/>
              </w:rPr>
              <w:t>–7.5)</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45.0</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(40.</w:t>
            </w:r>
            <w:r>
              <w:rPr>
                <w:sz w:val="22"/>
                <w:szCs w:val="22"/>
                <w:lang w:val="en-GB"/>
              </w:rPr>
              <w:t>8</w:t>
            </w:r>
            <w:r w:rsidRPr="005B6CCE">
              <w:rPr>
                <w:sz w:val="22"/>
                <w:szCs w:val="22"/>
                <w:lang w:val="en-GB"/>
              </w:rPr>
              <w:t>–49.</w:t>
            </w:r>
            <w:r>
              <w:rPr>
                <w:sz w:val="22"/>
                <w:szCs w:val="22"/>
                <w:lang w:val="en-GB"/>
              </w:rPr>
              <w:t>6</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29.9</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21.1</w:t>
            </w:r>
            <w:r w:rsidRPr="005B6CCE">
              <w:rPr>
                <w:sz w:val="22"/>
                <w:szCs w:val="22"/>
                <w:lang w:val="en-GB"/>
              </w:rPr>
              <w:t>–38.</w:t>
            </w:r>
            <w:r>
              <w:rPr>
                <w:sz w:val="22"/>
                <w:szCs w:val="22"/>
                <w:lang w:val="en-GB"/>
              </w:rPr>
              <w:t>7</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Switzerland</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6</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4</w:t>
            </w:r>
            <w:r w:rsidRPr="005B6CCE">
              <w:rPr>
                <w:sz w:val="22"/>
                <w:szCs w:val="22"/>
                <w:lang w:val="en-GB"/>
              </w:rPr>
              <w:t>–4.</w:t>
            </w:r>
            <w:r>
              <w:rPr>
                <w:sz w:val="22"/>
                <w:szCs w:val="22"/>
                <w:lang w:val="en-GB"/>
              </w:rPr>
              <w:t>8</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7</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w:t>
            </w:r>
            <w:r>
              <w:rPr>
                <w:sz w:val="22"/>
                <w:szCs w:val="22"/>
                <w:lang w:val="en-GB"/>
              </w:rPr>
              <w:t>4</w:t>
            </w:r>
            <w:r w:rsidRPr="005B6CCE">
              <w:rPr>
                <w:sz w:val="22"/>
                <w:szCs w:val="22"/>
                <w:lang w:val="en-GB"/>
              </w:rPr>
              <w:t>–</w:t>
            </w:r>
            <w:r>
              <w:rPr>
                <w:sz w:val="22"/>
                <w:szCs w:val="22"/>
                <w:lang w:val="en-GB"/>
              </w:rPr>
              <w:t>5.1</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30.8</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29.5</w:t>
            </w:r>
            <w:r w:rsidRPr="005B6CCE">
              <w:rPr>
                <w:sz w:val="22"/>
                <w:szCs w:val="22"/>
                <w:lang w:val="en-GB"/>
              </w:rPr>
              <w:t>–3</w:t>
            </w:r>
            <w:r>
              <w:rPr>
                <w:sz w:val="22"/>
                <w:szCs w:val="22"/>
                <w:lang w:val="en-GB"/>
              </w:rPr>
              <w:t>2.0</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Pr>
                <w:sz w:val="22"/>
                <w:szCs w:val="22"/>
                <w:lang w:val="en-GB"/>
              </w:rPr>
              <w:t>21.3</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(17.</w:t>
            </w:r>
            <w:r>
              <w:rPr>
                <w:sz w:val="22"/>
                <w:szCs w:val="22"/>
                <w:lang w:val="en-GB"/>
              </w:rPr>
              <w:t>9</w:t>
            </w:r>
            <w:r w:rsidRPr="005B6CCE">
              <w:rPr>
                <w:sz w:val="22"/>
                <w:szCs w:val="22"/>
                <w:lang w:val="en-GB"/>
              </w:rPr>
              <w:t>–24.</w:t>
            </w:r>
            <w:r>
              <w:rPr>
                <w:sz w:val="22"/>
                <w:szCs w:val="22"/>
                <w:lang w:val="en-GB"/>
              </w:rPr>
              <w:t>6</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Austria</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2.4</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(2.1–2.6)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3.4</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(2.8–3.9)</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34.2</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(31.5–36.8)</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26.0</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(19.7–32.</w:t>
            </w:r>
            <w:r>
              <w:rPr>
                <w:sz w:val="22"/>
                <w:szCs w:val="22"/>
                <w:lang w:val="en-GB"/>
              </w:rPr>
              <w:t>3</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lastRenderedPageBreak/>
              <w:t>Barcelona</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3.7</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(3.4–4.0)</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4.8</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(4.0–5.6)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25.8</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(23.</w:t>
            </w:r>
            <w:r>
              <w:rPr>
                <w:sz w:val="22"/>
                <w:szCs w:val="22"/>
                <w:lang w:val="en-GB"/>
              </w:rPr>
              <w:t>9</w:t>
            </w:r>
            <w:r w:rsidRPr="005B6CCE">
              <w:rPr>
                <w:sz w:val="22"/>
                <w:szCs w:val="22"/>
                <w:lang w:val="en-GB"/>
              </w:rPr>
              <w:t>–27.9)</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19.7</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16.1</w:t>
            </w:r>
            <w:r w:rsidRPr="005B6CCE">
              <w:rPr>
                <w:sz w:val="22"/>
                <w:szCs w:val="22"/>
                <w:lang w:val="en-GB"/>
              </w:rPr>
              <w:t>–23.4)</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Basque</w:t>
            </w:r>
            <w:r w:rsidR="00BD2F47">
              <w:rPr>
                <w:b/>
                <w:bCs/>
                <w:sz w:val="22"/>
                <w:szCs w:val="22"/>
                <w:lang w:val="en-GB"/>
              </w:rPr>
              <w:t xml:space="preserve"> Country</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5.6</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(5.0–6.1)</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4.2</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(3.0–5.3)</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22.0</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(19.</w:t>
            </w:r>
            <w:r>
              <w:rPr>
                <w:sz w:val="22"/>
                <w:szCs w:val="22"/>
                <w:lang w:val="en-GB"/>
              </w:rPr>
              <w:t>2</w:t>
            </w:r>
            <w:r w:rsidRPr="005B6CCE">
              <w:rPr>
                <w:sz w:val="22"/>
                <w:szCs w:val="22"/>
                <w:lang w:val="en-GB"/>
              </w:rPr>
              <w:t>–24.</w:t>
            </w:r>
            <w:r>
              <w:rPr>
                <w:sz w:val="22"/>
                <w:szCs w:val="22"/>
                <w:lang w:val="en-GB"/>
              </w:rPr>
              <w:t>7</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13.1</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6.4</w:t>
            </w:r>
            <w:r w:rsidRPr="005B6CCE">
              <w:rPr>
                <w:sz w:val="22"/>
                <w:szCs w:val="22"/>
                <w:lang w:val="en-GB"/>
              </w:rPr>
              <w:t>–19.</w:t>
            </w:r>
            <w:r>
              <w:rPr>
                <w:sz w:val="22"/>
                <w:szCs w:val="22"/>
                <w:lang w:val="en-GB"/>
              </w:rPr>
              <w:t>1</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Madrid</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3.4</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w:t>
            </w:r>
            <w:r>
              <w:rPr>
                <w:sz w:val="22"/>
                <w:szCs w:val="22"/>
                <w:lang w:val="en-GB"/>
              </w:rPr>
              <w:t>1</w:t>
            </w:r>
            <w:r w:rsidRPr="005B6CCE">
              <w:rPr>
                <w:sz w:val="22"/>
                <w:szCs w:val="22"/>
                <w:lang w:val="en-GB"/>
              </w:rPr>
              <w:t>–3.8)</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2.0</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w:t>
            </w:r>
            <w:r>
              <w:rPr>
                <w:sz w:val="22"/>
                <w:szCs w:val="22"/>
                <w:lang w:val="en-GB"/>
              </w:rPr>
              <w:t>3</w:t>
            </w:r>
            <w:r w:rsidRPr="005B6CCE">
              <w:rPr>
                <w:sz w:val="22"/>
                <w:szCs w:val="22"/>
                <w:lang w:val="en-GB"/>
              </w:rPr>
              <w:t>–2.9)</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23.1</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(20.</w:t>
            </w:r>
            <w:r>
              <w:rPr>
                <w:sz w:val="22"/>
                <w:szCs w:val="22"/>
                <w:lang w:val="en-GB"/>
              </w:rPr>
              <w:t>6</w:t>
            </w:r>
            <w:r w:rsidRPr="005B6CCE">
              <w:rPr>
                <w:sz w:val="22"/>
                <w:szCs w:val="22"/>
                <w:lang w:val="en-GB"/>
              </w:rPr>
              <w:t>–25.</w:t>
            </w:r>
            <w:r>
              <w:rPr>
                <w:sz w:val="22"/>
                <w:szCs w:val="22"/>
                <w:lang w:val="en-GB"/>
              </w:rPr>
              <w:t>8</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19.2</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(13.</w:t>
            </w:r>
            <w:r>
              <w:rPr>
                <w:sz w:val="22"/>
                <w:szCs w:val="22"/>
                <w:lang w:val="en-GB"/>
              </w:rPr>
              <w:t>3</w:t>
            </w:r>
            <w:r w:rsidRPr="005B6CCE">
              <w:rPr>
                <w:sz w:val="22"/>
                <w:szCs w:val="22"/>
                <w:lang w:val="en-GB"/>
              </w:rPr>
              <w:t>–24.</w:t>
            </w:r>
            <w:r>
              <w:rPr>
                <w:sz w:val="22"/>
                <w:szCs w:val="22"/>
                <w:lang w:val="en-GB"/>
              </w:rPr>
              <w:t>5</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Turin</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3.6</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(3.2–4.0)</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1.7</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(0.</w:t>
            </w:r>
            <w:r>
              <w:rPr>
                <w:sz w:val="22"/>
                <w:szCs w:val="22"/>
                <w:lang w:val="en-GB"/>
              </w:rPr>
              <w:t>9</w:t>
            </w:r>
            <w:r w:rsidRPr="005B6CCE">
              <w:rPr>
                <w:sz w:val="22"/>
                <w:szCs w:val="22"/>
                <w:lang w:val="en-GB"/>
              </w:rPr>
              <w:t>–2.6)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28.2</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(23.9–32.</w:t>
            </w:r>
            <w:r>
              <w:rPr>
                <w:sz w:val="22"/>
                <w:szCs w:val="22"/>
                <w:lang w:val="en-GB"/>
              </w:rPr>
              <w:t>5</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9.6</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w:t>
            </w:r>
            <w:r>
              <w:rPr>
                <w:sz w:val="22"/>
                <w:szCs w:val="22"/>
                <w:lang w:val="en-GB"/>
              </w:rPr>
              <w:t>4</w:t>
            </w:r>
            <w:r w:rsidRPr="005B6CCE">
              <w:rPr>
                <w:sz w:val="22"/>
                <w:szCs w:val="22"/>
                <w:lang w:val="en-GB"/>
              </w:rPr>
              <w:t>–17.</w:t>
            </w:r>
            <w:r>
              <w:rPr>
                <w:sz w:val="22"/>
                <w:szCs w:val="22"/>
                <w:lang w:val="en-GB"/>
              </w:rPr>
              <w:t>0</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Tuscany</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w:t>
            </w:r>
            <w:r>
              <w:rPr>
                <w:sz w:val="22"/>
                <w:szCs w:val="22"/>
                <w:lang w:val="en-GB"/>
              </w:rPr>
              <w:t>3</w:t>
            </w:r>
            <w:r w:rsidRPr="005B6CCE">
              <w:rPr>
                <w:sz w:val="22"/>
                <w:szCs w:val="22"/>
                <w:lang w:val="en-GB"/>
              </w:rPr>
              <w:t>–3.6)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(1.8–4.</w:t>
            </w:r>
            <w:r>
              <w:rPr>
                <w:sz w:val="22"/>
                <w:szCs w:val="22"/>
                <w:lang w:val="en-GB"/>
              </w:rPr>
              <w:t>1</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31.8</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25.7</w:t>
            </w:r>
            <w:r w:rsidRPr="005B6CCE">
              <w:rPr>
                <w:sz w:val="22"/>
                <w:szCs w:val="22"/>
                <w:lang w:val="en-GB"/>
              </w:rPr>
              <w:t>–37.4)</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17.6</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w:t>
            </w:r>
            <w:r>
              <w:rPr>
                <w:sz w:val="22"/>
                <w:szCs w:val="22"/>
                <w:lang w:val="en-GB"/>
              </w:rPr>
              <w:t>4</w:t>
            </w:r>
            <w:r w:rsidRPr="005B6CCE">
              <w:rPr>
                <w:sz w:val="22"/>
                <w:szCs w:val="22"/>
                <w:lang w:val="en-GB"/>
              </w:rPr>
              <w:t>–26.</w:t>
            </w:r>
            <w:r>
              <w:rPr>
                <w:sz w:val="22"/>
                <w:szCs w:val="22"/>
                <w:lang w:val="en-GB"/>
              </w:rPr>
              <w:t>4</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Hungary</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10.1</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w:t>
            </w:r>
            <w:r>
              <w:rPr>
                <w:sz w:val="22"/>
                <w:szCs w:val="22"/>
                <w:lang w:val="en-GB"/>
              </w:rPr>
              <w:t>9.9</w:t>
            </w:r>
            <w:r w:rsidRPr="005B6CCE">
              <w:rPr>
                <w:sz w:val="22"/>
                <w:szCs w:val="22"/>
                <w:lang w:val="en-GB"/>
              </w:rPr>
              <w:t>–10.3)</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9.0</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(8.8–9.3)</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54.1</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(53.</w:t>
            </w:r>
            <w:r>
              <w:rPr>
                <w:sz w:val="22"/>
                <w:szCs w:val="22"/>
                <w:lang w:val="en-GB"/>
              </w:rPr>
              <w:t>4</w:t>
            </w:r>
            <w:r w:rsidRPr="005B6CCE">
              <w:rPr>
                <w:sz w:val="22"/>
                <w:szCs w:val="22"/>
                <w:lang w:val="en-GB"/>
              </w:rPr>
              <w:t>–54.9)</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32.0</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(30.</w:t>
            </w:r>
            <w:r>
              <w:rPr>
                <w:sz w:val="22"/>
                <w:szCs w:val="22"/>
                <w:lang w:val="en-GB"/>
              </w:rPr>
              <w:t>1</w:t>
            </w:r>
            <w:r w:rsidRPr="005B6CCE">
              <w:rPr>
                <w:sz w:val="22"/>
                <w:szCs w:val="22"/>
                <w:lang w:val="en-GB"/>
              </w:rPr>
              <w:t>–33.</w:t>
            </w:r>
            <w:r>
              <w:rPr>
                <w:sz w:val="22"/>
                <w:szCs w:val="22"/>
                <w:lang w:val="en-GB"/>
              </w:rPr>
              <w:t>8</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Czech Republic</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2.0</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(1.96–2.02)</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4.8</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(4.7–5.0)</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57.0</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(56.</w:t>
            </w:r>
            <w:r>
              <w:rPr>
                <w:sz w:val="22"/>
                <w:szCs w:val="22"/>
                <w:lang w:val="en-GB"/>
              </w:rPr>
              <w:t>2</w:t>
            </w:r>
            <w:r w:rsidRPr="005B6CCE">
              <w:rPr>
                <w:sz w:val="22"/>
                <w:szCs w:val="22"/>
                <w:lang w:val="en-GB"/>
              </w:rPr>
              <w:t>–57.8)</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50.0</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(48.</w:t>
            </w:r>
            <w:r>
              <w:rPr>
                <w:sz w:val="22"/>
                <w:szCs w:val="22"/>
                <w:lang w:val="en-GB"/>
              </w:rPr>
              <w:t>0</w:t>
            </w:r>
            <w:r w:rsidRPr="005B6CCE">
              <w:rPr>
                <w:sz w:val="22"/>
                <w:szCs w:val="22"/>
                <w:lang w:val="en-GB"/>
              </w:rPr>
              <w:t>–51.</w:t>
            </w:r>
            <w:r>
              <w:rPr>
                <w:sz w:val="22"/>
                <w:szCs w:val="22"/>
                <w:lang w:val="en-GB"/>
              </w:rPr>
              <w:t>9</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Poland</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4.5</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(4.4–4.6)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5.9</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(5.7–6.1)</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54.1</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(53.5–54.7)</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42.9</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(41.</w:t>
            </w:r>
            <w:r>
              <w:rPr>
                <w:sz w:val="22"/>
                <w:szCs w:val="22"/>
                <w:lang w:val="en-GB"/>
              </w:rPr>
              <w:t>8</w:t>
            </w:r>
            <w:r w:rsidRPr="005B6CCE">
              <w:rPr>
                <w:sz w:val="22"/>
                <w:szCs w:val="22"/>
                <w:lang w:val="en-GB"/>
              </w:rPr>
              <w:t>–44.</w:t>
            </w:r>
            <w:r>
              <w:rPr>
                <w:sz w:val="22"/>
                <w:szCs w:val="22"/>
                <w:lang w:val="en-GB"/>
              </w:rPr>
              <w:t>1</w:t>
            </w:r>
            <w:r w:rsidRPr="005B6CCE">
              <w:rPr>
                <w:sz w:val="22"/>
                <w:szCs w:val="22"/>
                <w:lang w:val="en-GB"/>
              </w:rPr>
              <w:t>)</w:t>
            </w:r>
          </w:p>
        </w:tc>
      </w:tr>
      <w:tr w:rsidR="00E60955" w:rsidRPr="005B6CCE" w:rsidTr="00A117E5">
        <w:trPr>
          <w:trHeight w:val="300"/>
        </w:trPr>
        <w:tc>
          <w:tcPr>
            <w:tcW w:w="2076" w:type="dxa"/>
            <w:tcBorders>
              <w:top w:val="nil"/>
              <w:left w:val="single" w:sz="8" w:space="0" w:color="auto"/>
              <w:bottom w:val="nil"/>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Lithuania</w:t>
            </w:r>
          </w:p>
        </w:tc>
        <w:tc>
          <w:tcPr>
            <w:tcW w:w="1311"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6.4</w:t>
            </w:r>
          </w:p>
        </w:tc>
        <w:tc>
          <w:tcPr>
            <w:tcW w:w="1311"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(6.1–6.</w:t>
            </w:r>
            <w:r>
              <w:rPr>
                <w:sz w:val="22"/>
                <w:szCs w:val="22"/>
                <w:lang w:val="en-GB"/>
              </w:rPr>
              <w:t>8</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7.8</w:t>
            </w:r>
          </w:p>
        </w:tc>
        <w:tc>
          <w:tcPr>
            <w:tcW w:w="1123"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(7.3–8.</w:t>
            </w:r>
            <w:r>
              <w:rPr>
                <w:sz w:val="22"/>
                <w:szCs w:val="22"/>
                <w:lang w:val="en-GB"/>
              </w:rPr>
              <w:t>2</w:t>
            </w:r>
            <w:r w:rsidRPr="005B6CCE">
              <w:rPr>
                <w:sz w:val="22"/>
                <w:szCs w:val="22"/>
                <w:lang w:val="en-GB"/>
              </w:rPr>
              <w:t>)</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44.2</w:t>
            </w:r>
          </w:p>
        </w:tc>
        <w:tc>
          <w:tcPr>
            <w:tcW w:w="1310" w:type="dxa"/>
            <w:tcBorders>
              <w:top w:val="nil"/>
              <w:left w:val="nil"/>
              <w:bottom w:val="nil"/>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(42.</w:t>
            </w:r>
            <w:r>
              <w:rPr>
                <w:sz w:val="22"/>
                <w:szCs w:val="22"/>
                <w:lang w:val="en-GB"/>
              </w:rPr>
              <w:t>9</w:t>
            </w:r>
            <w:r w:rsidRPr="005B6CCE">
              <w:rPr>
                <w:sz w:val="22"/>
                <w:szCs w:val="22"/>
                <w:lang w:val="en-GB"/>
              </w:rPr>
              <w:t>–45.6)</w:t>
            </w:r>
          </w:p>
        </w:tc>
        <w:tc>
          <w:tcPr>
            <w:tcW w:w="1310" w:type="dxa"/>
            <w:tcBorders>
              <w:top w:val="nil"/>
              <w:left w:val="nil"/>
              <w:bottom w:val="nil"/>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35.4</w:t>
            </w:r>
          </w:p>
        </w:tc>
        <w:tc>
          <w:tcPr>
            <w:tcW w:w="1310" w:type="dxa"/>
            <w:tcBorders>
              <w:top w:val="nil"/>
              <w:left w:val="nil"/>
              <w:bottom w:val="nil"/>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(33.</w:t>
            </w:r>
            <w:r>
              <w:rPr>
                <w:sz w:val="22"/>
                <w:szCs w:val="22"/>
                <w:lang w:val="en-GB"/>
              </w:rPr>
              <w:t>4</w:t>
            </w:r>
            <w:r w:rsidRPr="005B6CCE">
              <w:rPr>
                <w:sz w:val="22"/>
                <w:szCs w:val="22"/>
                <w:lang w:val="en-GB"/>
              </w:rPr>
              <w:t>–37.4)</w:t>
            </w:r>
          </w:p>
        </w:tc>
      </w:tr>
      <w:tr w:rsidR="00E60955" w:rsidRPr="005B6CCE" w:rsidTr="00A117E5">
        <w:trPr>
          <w:trHeight w:val="315"/>
        </w:trPr>
        <w:tc>
          <w:tcPr>
            <w:tcW w:w="2076" w:type="dxa"/>
            <w:tcBorders>
              <w:top w:val="nil"/>
              <w:left w:val="single" w:sz="8" w:space="0" w:color="auto"/>
              <w:bottom w:val="single" w:sz="8" w:space="0" w:color="auto"/>
              <w:right w:val="single" w:sz="8" w:space="0" w:color="auto"/>
            </w:tcBorders>
            <w:shd w:val="clear" w:color="auto" w:fill="auto"/>
            <w:noWrap/>
            <w:vAlign w:val="bottom"/>
          </w:tcPr>
          <w:p w:rsidR="00E60955" w:rsidRPr="005B6CCE" w:rsidRDefault="00E60955" w:rsidP="00E614D4">
            <w:pPr>
              <w:spacing w:line="480" w:lineRule="auto"/>
              <w:rPr>
                <w:b/>
                <w:bCs/>
                <w:sz w:val="22"/>
                <w:szCs w:val="22"/>
                <w:lang w:val="en-GB"/>
              </w:rPr>
            </w:pPr>
            <w:r w:rsidRPr="005B6CCE">
              <w:rPr>
                <w:b/>
                <w:bCs/>
                <w:sz w:val="22"/>
                <w:szCs w:val="22"/>
                <w:lang w:val="en-GB"/>
              </w:rPr>
              <w:t>Estonia</w:t>
            </w:r>
          </w:p>
        </w:tc>
        <w:tc>
          <w:tcPr>
            <w:tcW w:w="1311" w:type="dxa"/>
            <w:tcBorders>
              <w:top w:val="nil"/>
              <w:left w:val="nil"/>
              <w:bottom w:val="single" w:sz="8" w:space="0" w:color="auto"/>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5.4</w:t>
            </w:r>
          </w:p>
        </w:tc>
        <w:tc>
          <w:tcPr>
            <w:tcW w:w="1311" w:type="dxa"/>
            <w:tcBorders>
              <w:top w:val="nil"/>
              <w:left w:val="nil"/>
              <w:bottom w:val="single" w:sz="8" w:space="0" w:color="auto"/>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(5.0–5.8)</w:t>
            </w:r>
          </w:p>
        </w:tc>
        <w:tc>
          <w:tcPr>
            <w:tcW w:w="1310" w:type="dxa"/>
            <w:tcBorders>
              <w:top w:val="nil"/>
              <w:left w:val="nil"/>
              <w:bottom w:val="single" w:sz="8" w:space="0" w:color="auto"/>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7.3</w:t>
            </w:r>
          </w:p>
        </w:tc>
        <w:tc>
          <w:tcPr>
            <w:tcW w:w="1123" w:type="dxa"/>
            <w:tcBorders>
              <w:top w:val="nil"/>
              <w:left w:val="nil"/>
              <w:bottom w:val="single" w:sz="8" w:space="0" w:color="auto"/>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(6.</w:t>
            </w:r>
            <w:r>
              <w:rPr>
                <w:sz w:val="22"/>
                <w:szCs w:val="22"/>
                <w:lang w:val="en-GB"/>
              </w:rPr>
              <w:t>7</w:t>
            </w:r>
            <w:r w:rsidRPr="005B6CCE">
              <w:rPr>
                <w:sz w:val="22"/>
                <w:szCs w:val="22"/>
                <w:lang w:val="en-GB"/>
              </w:rPr>
              <w:t>–7.</w:t>
            </w:r>
            <w:r>
              <w:rPr>
                <w:sz w:val="22"/>
                <w:szCs w:val="22"/>
                <w:lang w:val="en-GB"/>
              </w:rPr>
              <w:t>9</w:t>
            </w:r>
            <w:r w:rsidRPr="005B6CCE">
              <w:rPr>
                <w:sz w:val="22"/>
                <w:szCs w:val="22"/>
                <w:lang w:val="en-GB"/>
              </w:rPr>
              <w:t>)</w:t>
            </w:r>
          </w:p>
        </w:tc>
        <w:tc>
          <w:tcPr>
            <w:tcW w:w="1310" w:type="dxa"/>
            <w:tcBorders>
              <w:top w:val="nil"/>
              <w:left w:val="nil"/>
              <w:bottom w:val="single" w:sz="8" w:space="0" w:color="auto"/>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48.6</w:t>
            </w:r>
          </w:p>
        </w:tc>
        <w:tc>
          <w:tcPr>
            <w:tcW w:w="1310" w:type="dxa"/>
            <w:tcBorders>
              <w:top w:val="nil"/>
              <w:left w:val="nil"/>
              <w:bottom w:val="single" w:sz="8" w:space="0" w:color="auto"/>
              <w:right w:val="single" w:sz="8"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(46.</w:t>
            </w:r>
            <w:r>
              <w:rPr>
                <w:sz w:val="22"/>
                <w:szCs w:val="22"/>
                <w:lang w:val="en-GB"/>
              </w:rPr>
              <w:t>6</w:t>
            </w:r>
            <w:r w:rsidRPr="005B6CCE">
              <w:rPr>
                <w:sz w:val="22"/>
                <w:szCs w:val="22"/>
                <w:lang w:val="en-GB"/>
              </w:rPr>
              <w:t>–50.</w:t>
            </w:r>
            <w:r>
              <w:rPr>
                <w:sz w:val="22"/>
                <w:szCs w:val="22"/>
                <w:lang w:val="en-GB"/>
              </w:rPr>
              <w:t>3</w:t>
            </w:r>
            <w:r w:rsidRPr="005B6CCE">
              <w:rPr>
                <w:sz w:val="22"/>
                <w:szCs w:val="22"/>
                <w:lang w:val="en-GB"/>
              </w:rPr>
              <w:t>)</w:t>
            </w:r>
          </w:p>
        </w:tc>
        <w:tc>
          <w:tcPr>
            <w:tcW w:w="1310" w:type="dxa"/>
            <w:tcBorders>
              <w:top w:val="nil"/>
              <w:left w:val="nil"/>
              <w:bottom w:val="single" w:sz="8" w:space="0" w:color="auto"/>
              <w:right w:val="nil"/>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41.4</w:t>
            </w:r>
          </w:p>
        </w:tc>
        <w:tc>
          <w:tcPr>
            <w:tcW w:w="1310" w:type="dxa"/>
            <w:tcBorders>
              <w:top w:val="nil"/>
              <w:left w:val="nil"/>
              <w:bottom w:val="single" w:sz="8" w:space="0" w:color="auto"/>
              <w:right w:val="single" w:sz="4" w:space="0" w:color="auto"/>
            </w:tcBorders>
            <w:shd w:val="clear" w:color="auto" w:fill="auto"/>
            <w:noWrap/>
            <w:vAlign w:val="bottom"/>
          </w:tcPr>
          <w:p w:rsidR="00E60955" w:rsidRPr="005B6CCE" w:rsidRDefault="00E60955" w:rsidP="00E614D4">
            <w:pPr>
              <w:spacing w:line="480" w:lineRule="auto"/>
              <w:jc w:val="center"/>
              <w:rPr>
                <w:sz w:val="22"/>
                <w:szCs w:val="22"/>
                <w:lang w:val="en-GB"/>
              </w:rPr>
            </w:pPr>
            <w:r w:rsidRPr="005B6CCE">
              <w:rPr>
                <w:sz w:val="22"/>
                <w:szCs w:val="22"/>
                <w:lang w:val="en-GB"/>
              </w:rPr>
              <w:t>(38.</w:t>
            </w:r>
            <w:r>
              <w:rPr>
                <w:sz w:val="22"/>
                <w:szCs w:val="22"/>
                <w:lang w:val="en-GB"/>
              </w:rPr>
              <w:t>6</w:t>
            </w:r>
            <w:r w:rsidRPr="005B6CCE">
              <w:rPr>
                <w:sz w:val="22"/>
                <w:szCs w:val="22"/>
                <w:lang w:val="en-GB"/>
              </w:rPr>
              <w:t>–</w:t>
            </w:r>
            <w:r>
              <w:rPr>
                <w:sz w:val="22"/>
                <w:szCs w:val="22"/>
                <w:lang w:val="en-GB"/>
              </w:rPr>
              <w:t>43.9</w:t>
            </w:r>
            <w:r w:rsidRPr="005B6CCE">
              <w:rPr>
                <w:sz w:val="22"/>
                <w:szCs w:val="22"/>
                <w:lang w:val="en-GB"/>
              </w:rPr>
              <w:t>)</w:t>
            </w:r>
          </w:p>
        </w:tc>
      </w:tr>
    </w:tbl>
    <w:p w:rsidR="00E60955" w:rsidRDefault="00E60955" w:rsidP="00E614D4">
      <w:pPr>
        <w:spacing w:line="480" w:lineRule="auto"/>
        <w:rPr>
          <w:sz w:val="18"/>
          <w:szCs w:val="18"/>
          <w:lang w:val="en-GB"/>
        </w:rPr>
      </w:pPr>
    </w:p>
    <w:p w:rsidR="00E60955" w:rsidRDefault="00E60955" w:rsidP="00E614D4">
      <w:pPr>
        <w:spacing w:line="480" w:lineRule="auto"/>
        <w:rPr>
          <w:sz w:val="18"/>
          <w:szCs w:val="18"/>
          <w:lang w:val="en-GB"/>
        </w:rPr>
      </w:pPr>
    </w:p>
    <w:p w:rsidR="00E60955" w:rsidRDefault="00E60955" w:rsidP="00E614D4">
      <w:pPr>
        <w:spacing w:line="480" w:lineRule="auto"/>
        <w:rPr>
          <w:sz w:val="18"/>
          <w:szCs w:val="18"/>
          <w:lang w:val="en-GB"/>
        </w:rPr>
      </w:pPr>
    </w:p>
    <w:p w:rsidR="004957FD" w:rsidRDefault="004957FD" w:rsidP="00E614D4">
      <w:pPr>
        <w:pStyle w:val="Caption"/>
        <w:keepNext/>
        <w:spacing w:line="480" w:lineRule="auto"/>
        <w:rPr>
          <w:sz w:val="24"/>
          <w:szCs w:val="24"/>
          <w:lang w:val="en-GB"/>
        </w:rPr>
        <w:sectPr w:rsidR="004957FD" w:rsidSect="00A117E5">
          <w:pgSz w:w="16838" w:h="11906" w:orient="landscape"/>
          <w:pgMar w:top="1418" w:right="1418" w:bottom="1418" w:left="1418" w:header="709" w:footer="709" w:gutter="0"/>
          <w:cols w:space="708"/>
          <w:docGrid w:linePitch="360"/>
        </w:sectPr>
      </w:pPr>
    </w:p>
    <w:p w:rsidR="00E60955" w:rsidRPr="00367576" w:rsidRDefault="00E60955" w:rsidP="00E614D4">
      <w:pPr>
        <w:pStyle w:val="Caption"/>
        <w:keepNext/>
        <w:spacing w:line="480" w:lineRule="auto"/>
        <w:rPr>
          <w:sz w:val="24"/>
          <w:szCs w:val="24"/>
          <w:lang w:val="en-GB"/>
        </w:rPr>
      </w:pPr>
      <w:r w:rsidRPr="00367576">
        <w:rPr>
          <w:sz w:val="24"/>
          <w:szCs w:val="24"/>
          <w:lang w:val="en-GB"/>
        </w:rPr>
        <w:lastRenderedPageBreak/>
        <w:t xml:space="preserve">Table </w:t>
      </w:r>
      <w:r w:rsidRPr="00367576">
        <w:rPr>
          <w:sz w:val="24"/>
          <w:szCs w:val="24"/>
          <w:lang w:val="en-GB"/>
        </w:rPr>
        <w:fldChar w:fldCharType="begin"/>
      </w:r>
      <w:r w:rsidRPr="00367576">
        <w:rPr>
          <w:sz w:val="24"/>
          <w:szCs w:val="24"/>
          <w:lang w:val="en-GB"/>
        </w:rPr>
        <w:instrText xml:space="preserve"> SEQ Table \* ARABIC </w:instrText>
      </w:r>
      <w:r w:rsidRPr="00367576">
        <w:rPr>
          <w:sz w:val="24"/>
          <w:szCs w:val="24"/>
          <w:lang w:val="en-GB"/>
        </w:rPr>
        <w:fldChar w:fldCharType="separate"/>
      </w:r>
      <w:r>
        <w:rPr>
          <w:noProof/>
          <w:sz w:val="24"/>
          <w:szCs w:val="24"/>
          <w:lang w:val="en-GB"/>
        </w:rPr>
        <w:t>3</w:t>
      </w:r>
      <w:r w:rsidRPr="00367576">
        <w:rPr>
          <w:sz w:val="24"/>
          <w:szCs w:val="24"/>
          <w:lang w:val="en-GB"/>
        </w:rPr>
        <w:fldChar w:fldCharType="end"/>
      </w:r>
      <w:r w:rsidRPr="00367576">
        <w:rPr>
          <w:sz w:val="24"/>
          <w:szCs w:val="24"/>
          <w:lang w:val="en-GB"/>
        </w:rPr>
        <w:t xml:space="preserve">: </w:t>
      </w:r>
      <w:r>
        <w:rPr>
          <w:noProof/>
          <w:sz w:val="24"/>
          <w:szCs w:val="24"/>
          <w:lang w:val="en-GB"/>
        </w:rPr>
        <w:t xml:space="preserve">Absolute reduction of </w:t>
      </w:r>
      <w:r w:rsidRPr="00367576">
        <w:rPr>
          <w:noProof/>
          <w:sz w:val="24"/>
          <w:szCs w:val="24"/>
          <w:lang w:val="en-GB"/>
        </w:rPr>
        <w:t xml:space="preserve">all-cause mortality </w:t>
      </w:r>
      <w:r>
        <w:rPr>
          <w:noProof/>
          <w:sz w:val="24"/>
          <w:szCs w:val="24"/>
          <w:lang w:val="en-GB"/>
        </w:rPr>
        <w:t>in the</w:t>
      </w:r>
      <w:r w:rsidRPr="00367576">
        <w:rPr>
          <w:noProof/>
          <w:sz w:val="24"/>
          <w:szCs w:val="24"/>
          <w:lang w:val="en-GB"/>
        </w:rPr>
        <w:t xml:space="preserve"> cohort replacement and upward leveling scenario</w:t>
      </w:r>
      <w:r>
        <w:rPr>
          <w:noProof/>
          <w:sz w:val="24"/>
          <w:szCs w:val="24"/>
          <w:lang w:val="en-GB"/>
        </w:rPr>
        <w:t>s</w:t>
      </w:r>
      <w:r w:rsidRPr="00367576">
        <w:rPr>
          <w:sz w:val="24"/>
          <w:szCs w:val="24"/>
          <w:lang w:val="en-GB"/>
        </w:rPr>
        <w:t>, 30–79 years</w:t>
      </w:r>
    </w:p>
    <w:tbl>
      <w:tblPr>
        <w:tblW w:w="15026" w:type="dxa"/>
        <w:tblInd w:w="55" w:type="dxa"/>
        <w:tblLayout w:type="fixed"/>
        <w:tblCellMar>
          <w:left w:w="70" w:type="dxa"/>
          <w:right w:w="70" w:type="dxa"/>
        </w:tblCellMar>
        <w:tblLook w:val="0000" w:firstRow="0" w:lastRow="0" w:firstColumn="0" w:lastColumn="0" w:noHBand="0" w:noVBand="0"/>
      </w:tblPr>
      <w:tblGrid>
        <w:gridCol w:w="2241"/>
        <w:gridCol w:w="1340"/>
        <w:gridCol w:w="1295"/>
        <w:gridCol w:w="1316"/>
        <w:gridCol w:w="1128"/>
        <w:gridCol w:w="1316"/>
        <w:gridCol w:w="1444"/>
        <w:gridCol w:w="1187"/>
        <w:gridCol w:w="145"/>
        <w:gridCol w:w="1332"/>
        <w:gridCol w:w="1154"/>
        <w:gridCol w:w="1128"/>
      </w:tblGrid>
      <w:tr w:rsidR="00E60955" w:rsidRPr="00460B37" w:rsidTr="00A117E5">
        <w:trPr>
          <w:trHeight w:val="437"/>
        </w:trPr>
        <w:tc>
          <w:tcPr>
            <w:tcW w:w="2241" w:type="dxa"/>
            <w:vMerge w:val="restart"/>
            <w:tcBorders>
              <w:top w:val="single" w:sz="8" w:space="0" w:color="auto"/>
              <w:left w:val="single" w:sz="8" w:space="0" w:color="auto"/>
              <w:bottom w:val="nil"/>
              <w:right w:val="single" w:sz="8" w:space="0" w:color="auto"/>
            </w:tcBorders>
            <w:shd w:val="clear" w:color="auto" w:fill="auto"/>
            <w:vAlign w:val="center"/>
          </w:tcPr>
          <w:p w:rsidR="00E60955" w:rsidRPr="00924C77" w:rsidRDefault="00E60955" w:rsidP="00E614D4">
            <w:pPr>
              <w:spacing w:line="480" w:lineRule="auto"/>
              <w:rPr>
                <w:b/>
                <w:bCs/>
                <w:sz w:val="22"/>
                <w:szCs w:val="22"/>
                <w:lang w:val="en-GB"/>
              </w:rPr>
            </w:pPr>
            <w:r w:rsidRPr="00924C77">
              <w:rPr>
                <w:b/>
                <w:bCs/>
                <w:sz w:val="22"/>
                <w:szCs w:val="22"/>
                <w:lang w:val="en-GB"/>
              </w:rPr>
              <w:t>Country</w:t>
            </w:r>
          </w:p>
        </w:tc>
        <w:tc>
          <w:tcPr>
            <w:tcW w:w="5079" w:type="dxa"/>
            <w:gridSpan w:val="4"/>
            <w:tcBorders>
              <w:top w:val="single" w:sz="8" w:space="0" w:color="auto"/>
              <w:left w:val="nil"/>
              <w:bottom w:val="single" w:sz="4" w:space="0" w:color="auto"/>
              <w:right w:val="single" w:sz="8" w:space="0" w:color="000000"/>
            </w:tcBorders>
            <w:shd w:val="clear" w:color="auto" w:fill="auto"/>
            <w:noWrap/>
            <w:vAlign w:val="center"/>
          </w:tcPr>
          <w:p w:rsidR="00E60955" w:rsidRPr="00924C77" w:rsidRDefault="00E60955" w:rsidP="00E614D4">
            <w:pPr>
              <w:spacing w:line="480" w:lineRule="auto"/>
              <w:jc w:val="center"/>
              <w:rPr>
                <w:b/>
                <w:bCs/>
                <w:sz w:val="22"/>
                <w:szCs w:val="22"/>
                <w:lang w:val="en-GB"/>
              </w:rPr>
            </w:pPr>
            <w:r>
              <w:rPr>
                <w:b/>
                <w:bCs/>
                <w:sz w:val="22"/>
                <w:szCs w:val="22"/>
                <w:lang w:val="en-GB"/>
              </w:rPr>
              <w:t>C</w:t>
            </w:r>
            <w:r w:rsidRPr="00924C77">
              <w:rPr>
                <w:b/>
                <w:bCs/>
                <w:sz w:val="22"/>
                <w:szCs w:val="22"/>
                <w:lang w:val="en-GB"/>
              </w:rPr>
              <w:t>ohort replacement scenario</w:t>
            </w:r>
          </w:p>
        </w:tc>
        <w:tc>
          <w:tcPr>
            <w:tcW w:w="5424" w:type="dxa"/>
            <w:gridSpan w:val="5"/>
            <w:tcBorders>
              <w:top w:val="single" w:sz="8" w:space="0" w:color="auto"/>
              <w:left w:val="nil"/>
              <w:bottom w:val="single" w:sz="4" w:space="0" w:color="auto"/>
              <w:right w:val="nil"/>
            </w:tcBorders>
            <w:shd w:val="clear" w:color="auto" w:fill="auto"/>
            <w:noWrap/>
            <w:vAlign w:val="center"/>
          </w:tcPr>
          <w:p w:rsidR="00E60955" w:rsidRPr="00924C77" w:rsidRDefault="00E60955" w:rsidP="00E614D4">
            <w:pPr>
              <w:spacing w:line="480" w:lineRule="auto"/>
              <w:jc w:val="center"/>
              <w:rPr>
                <w:b/>
                <w:bCs/>
                <w:sz w:val="22"/>
                <w:szCs w:val="22"/>
                <w:lang w:val="en-GB"/>
              </w:rPr>
            </w:pPr>
            <w:r w:rsidRPr="00924C77">
              <w:rPr>
                <w:b/>
                <w:bCs/>
                <w:sz w:val="22"/>
                <w:szCs w:val="22"/>
                <w:lang w:val="en-GB"/>
              </w:rPr>
              <w:t>Upward levelling scenario</w:t>
            </w:r>
          </w:p>
        </w:tc>
        <w:tc>
          <w:tcPr>
            <w:tcW w:w="2282" w:type="dxa"/>
            <w:gridSpan w:val="2"/>
            <w:vMerge w:val="restart"/>
            <w:tcBorders>
              <w:top w:val="single" w:sz="8" w:space="0" w:color="auto"/>
              <w:left w:val="single" w:sz="8" w:space="0" w:color="auto"/>
              <w:bottom w:val="nil"/>
              <w:right w:val="single" w:sz="8" w:space="0" w:color="000000"/>
            </w:tcBorders>
            <w:shd w:val="clear" w:color="auto" w:fill="auto"/>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Share of cohort replacement scenario on upward levelling scenario (in %)</w:t>
            </w:r>
          </w:p>
        </w:tc>
      </w:tr>
      <w:tr w:rsidR="00E60955" w:rsidRPr="00924C77" w:rsidTr="00A117E5">
        <w:trPr>
          <w:trHeight w:val="315"/>
        </w:trPr>
        <w:tc>
          <w:tcPr>
            <w:tcW w:w="2241" w:type="dxa"/>
            <w:vMerge/>
            <w:tcBorders>
              <w:top w:val="single" w:sz="8" w:space="0" w:color="auto"/>
              <w:left w:val="single" w:sz="8" w:space="0" w:color="auto"/>
              <w:bottom w:val="nil"/>
              <w:right w:val="single" w:sz="8" w:space="0" w:color="auto"/>
            </w:tcBorders>
            <w:vAlign w:val="center"/>
          </w:tcPr>
          <w:p w:rsidR="00E60955" w:rsidRPr="00924C77" w:rsidRDefault="00E60955" w:rsidP="00E614D4">
            <w:pPr>
              <w:spacing w:line="480" w:lineRule="auto"/>
              <w:jc w:val="center"/>
              <w:rPr>
                <w:b/>
                <w:bCs/>
                <w:sz w:val="22"/>
                <w:szCs w:val="22"/>
                <w:lang w:val="en-GB"/>
              </w:rPr>
            </w:pPr>
          </w:p>
        </w:tc>
        <w:tc>
          <w:tcPr>
            <w:tcW w:w="2635" w:type="dxa"/>
            <w:gridSpan w:val="2"/>
            <w:tcBorders>
              <w:top w:val="single" w:sz="4" w:space="0" w:color="auto"/>
              <w:left w:val="nil"/>
              <w:bottom w:val="single" w:sz="4" w:space="0" w:color="auto"/>
              <w:right w:val="single" w:sz="8" w:space="0" w:color="000000"/>
            </w:tcBorders>
            <w:shd w:val="clear" w:color="auto" w:fill="auto"/>
            <w:noWrap/>
            <w:vAlign w:val="center"/>
          </w:tcPr>
          <w:p w:rsidR="00E60955" w:rsidRPr="00924C77" w:rsidRDefault="00E60955" w:rsidP="00E614D4">
            <w:pPr>
              <w:spacing w:line="480" w:lineRule="auto"/>
              <w:jc w:val="center"/>
              <w:rPr>
                <w:b/>
                <w:bCs/>
                <w:sz w:val="22"/>
                <w:szCs w:val="22"/>
                <w:lang w:val="en-GB"/>
              </w:rPr>
            </w:pPr>
            <w:r w:rsidRPr="00924C77">
              <w:rPr>
                <w:b/>
                <w:bCs/>
                <w:sz w:val="22"/>
                <w:szCs w:val="22"/>
                <w:lang w:val="en-GB"/>
              </w:rPr>
              <w:t>Men</w:t>
            </w:r>
          </w:p>
        </w:tc>
        <w:tc>
          <w:tcPr>
            <w:tcW w:w="2444" w:type="dxa"/>
            <w:gridSpan w:val="2"/>
            <w:tcBorders>
              <w:top w:val="single" w:sz="4" w:space="0" w:color="auto"/>
              <w:left w:val="nil"/>
              <w:bottom w:val="single" w:sz="4" w:space="0" w:color="auto"/>
              <w:right w:val="single" w:sz="8" w:space="0" w:color="000000"/>
            </w:tcBorders>
            <w:shd w:val="clear" w:color="auto" w:fill="auto"/>
            <w:noWrap/>
            <w:vAlign w:val="center"/>
          </w:tcPr>
          <w:p w:rsidR="00E60955" w:rsidRPr="00924C77" w:rsidRDefault="00E60955" w:rsidP="00E614D4">
            <w:pPr>
              <w:spacing w:line="480" w:lineRule="auto"/>
              <w:jc w:val="center"/>
              <w:rPr>
                <w:b/>
                <w:bCs/>
                <w:sz w:val="22"/>
                <w:szCs w:val="22"/>
                <w:lang w:val="en-GB"/>
              </w:rPr>
            </w:pPr>
            <w:r w:rsidRPr="00924C77">
              <w:rPr>
                <w:b/>
                <w:bCs/>
                <w:sz w:val="22"/>
                <w:szCs w:val="22"/>
                <w:lang w:val="en-GB"/>
              </w:rPr>
              <w:t>Women</w:t>
            </w:r>
          </w:p>
        </w:tc>
        <w:tc>
          <w:tcPr>
            <w:tcW w:w="2760" w:type="dxa"/>
            <w:gridSpan w:val="2"/>
            <w:tcBorders>
              <w:top w:val="single" w:sz="4" w:space="0" w:color="auto"/>
              <w:left w:val="nil"/>
              <w:bottom w:val="single" w:sz="4" w:space="0" w:color="auto"/>
              <w:right w:val="single" w:sz="8" w:space="0" w:color="000000"/>
            </w:tcBorders>
            <w:shd w:val="clear" w:color="auto" w:fill="auto"/>
            <w:noWrap/>
            <w:vAlign w:val="center"/>
          </w:tcPr>
          <w:p w:rsidR="00E60955" w:rsidRPr="00924C77" w:rsidRDefault="00E60955" w:rsidP="00E614D4">
            <w:pPr>
              <w:spacing w:line="480" w:lineRule="auto"/>
              <w:jc w:val="center"/>
              <w:rPr>
                <w:b/>
                <w:bCs/>
                <w:sz w:val="22"/>
                <w:szCs w:val="22"/>
                <w:lang w:val="en-GB"/>
              </w:rPr>
            </w:pPr>
            <w:r w:rsidRPr="00924C77">
              <w:rPr>
                <w:b/>
                <w:bCs/>
                <w:sz w:val="22"/>
                <w:szCs w:val="22"/>
                <w:lang w:val="en-GB"/>
              </w:rPr>
              <w:t>Men</w:t>
            </w:r>
          </w:p>
        </w:tc>
        <w:tc>
          <w:tcPr>
            <w:tcW w:w="2664" w:type="dxa"/>
            <w:gridSpan w:val="3"/>
            <w:tcBorders>
              <w:top w:val="single" w:sz="4" w:space="0" w:color="auto"/>
              <w:left w:val="nil"/>
              <w:bottom w:val="single" w:sz="4" w:space="0" w:color="auto"/>
              <w:right w:val="nil"/>
            </w:tcBorders>
            <w:shd w:val="clear" w:color="auto" w:fill="auto"/>
            <w:noWrap/>
            <w:vAlign w:val="center"/>
          </w:tcPr>
          <w:p w:rsidR="00E60955" w:rsidRPr="00924C77" w:rsidRDefault="00E60955" w:rsidP="00E614D4">
            <w:pPr>
              <w:spacing w:line="480" w:lineRule="auto"/>
              <w:jc w:val="center"/>
              <w:rPr>
                <w:b/>
                <w:bCs/>
                <w:sz w:val="22"/>
                <w:szCs w:val="22"/>
                <w:lang w:val="en-GB"/>
              </w:rPr>
            </w:pPr>
            <w:r w:rsidRPr="00924C77">
              <w:rPr>
                <w:b/>
                <w:bCs/>
                <w:sz w:val="22"/>
                <w:szCs w:val="22"/>
                <w:lang w:val="en-GB"/>
              </w:rPr>
              <w:t>Women</w:t>
            </w:r>
          </w:p>
        </w:tc>
        <w:tc>
          <w:tcPr>
            <w:tcW w:w="2282" w:type="dxa"/>
            <w:gridSpan w:val="2"/>
            <w:vMerge/>
            <w:tcBorders>
              <w:top w:val="single" w:sz="8" w:space="0" w:color="auto"/>
              <w:left w:val="single" w:sz="8" w:space="0" w:color="auto"/>
              <w:bottom w:val="single" w:sz="4" w:space="0" w:color="auto"/>
              <w:right w:val="single" w:sz="8" w:space="0" w:color="000000"/>
            </w:tcBorders>
            <w:vAlign w:val="center"/>
          </w:tcPr>
          <w:p w:rsidR="00E60955" w:rsidRPr="00924C77" w:rsidRDefault="00E60955" w:rsidP="00E614D4">
            <w:pPr>
              <w:spacing w:line="480" w:lineRule="auto"/>
              <w:rPr>
                <w:b/>
                <w:bCs/>
                <w:sz w:val="22"/>
                <w:szCs w:val="22"/>
                <w:lang w:val="en-GB"/>
              </w:rPr>
            </w:pPr>
          </w:p>
        </w:tc>
      </w:tr>
      <w:tr w:rsidR="00E60955" w:rsidRPr="00924C77" w:rsidTr="00A117E5">
        <w:trPr>
          <w:trHeight w:val="285"/>
        </w:trPr>
        <w:tc>
          <w:tcPr>
            <w:tcW w:w="2241" w:type="dxa"/>
            <w:tcBorders>
              <w:top w:val="nil"/>
              <w:left w:val="single" w:sz="8" w:space="0" w:color="auto"/>
              <w:bottom w:val="single" w:sz="4" w:space="0" w:color="auto"/>
              <w:right w:val="single" w:sz="8" w:space="0" w:color="auto"/>
            </w:tcBorders>
            <w:shd w:val="clear" w:color="auto" w:fill="auto"/>
            <w:vAlign w:val="bottom"/>
          </w:tcPr>
          <w:p w:rsidR="00E60955" w:rsidRPr="00924C77" w:rsidRDefault="00E60955" w:rsidP="00E614D4">
            <w:pPr>
              <w:spacing w:line="480" w:lineRule="auto"/>
              <w:rPr>
                <w:b/>
                <w:bCs/>
                <w:sz w:val="22"/>
                <w:szCs w:val="22"/>
                <w:lang w:val="en-GB"/>
              </w:rPr>
            </w:pPr>
            <w:r w:rsidRPr="00924C77">
              <w:rPr>
                <w:b/>
                <w:bCs/>
                <w:sz w:val="22"/>
                <w:szCs w:val="22"/>
                <w:lang w:val="en-GB"/>
              </w:rPr>
              <w:t> </w:t>
            </w:r>
          </w:p>
        </w:tc>
        <w:tc>
          <w:tcPr>
            <w:tcW w:w="1340" w:type="dxa"/>
            <w:tcBorders>
              <w:top w:val="single" w:sz="4" w:space="0" w:color="auto"/>
              <w:left w:val="nil"/>
              <w:bottom w:val="single" w:sz="4" w:space="0" w:color="auto"/>
              <w:right w:val="nil"/>
            </w:tcBorders>
            <w:shd w:val="clear" w:color="auto" w:fill="auto"/>
            <w:noWrap/>
            <w:vAlign w:val="bottom"/>
          </w:tcPr>
          <w:p w:rsidR="00E60955" w:rsidRPr="00924C77" w:rsidRDefault="00E60955" w:rsidP="00E614D4">
            <w:pPr>
              <w:spacing w:line="480" w:lineRule="auto"/>
              <w:jc w:val="center"/>
              <w:rPr>
                <w:b/>
                <w:bCs/>
                <w:sz w:val="22"/>
                <w:szCs w:val="22"/>
                <w:lang w:val="en-GB"/>
              </w:rPr>
            </w:pPr>
            <w:r>
              <w:rPr>
                <w:b/>
                <w:bCs/>
                <w:sz w:val="22"/>
                <w:szCs w:val="22"/>
                <w:lang w:val="en-GB"/>
              </w:rPr>
              <w:t>Absolute reduction (in deaths per 100,000)</w:t>
            </w:r>
          </w:p>
        </w:tc>
        <w:tc>
          <w:tcPr>
            <w:tcW w:w="1295" w:type="dxa"/>
            <w:tcBorders>
              <w:top w:val="single" w:sz="4" w:space="0" w:color="auto"/>
              <w:left w:val="nil"/>
              <w:bottom w:val="single" w:sz="4" w:space="0" w:color="auto"/>
              <w:right w:val="single" w:sz="8" w:space="0" w:color="auto"/>
            </w:tcBorders>
            <w:shd w:val="clear" w:color="auto" w:fill="auto"/>
            <w:noWrap/>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95%-CI</w:t>
            </w:r>
          </w:p>
        </w:tc>
        <w:tc>
          <w:tcPr>
            <w:tcW w:w="1316" w:type="dxa"/>
            <w:tcBorders>
              <w:top w:val="single" w:sz="4" w:space="0" w:color="auto"/>
              <w:left w:val="nil"/>
              <w:bottom w:val="single" w:sz="4" w:space="0" w:color="auto"/>
              <w:right w:val="nil"/>
            </w:tcBorders>
            <w:shd w:val="clear" w:color="auto" w:fill="auto"/>
            <w:noWrap/>
            <w:vAlign w:val="bottom"/>
          </w:tcPr>
          <w:p w:rsidR="00E60955" w:rsidRPr="00924C77" w:rsidRDefault="00E60955" w:rsidP="00E614D4">
            <w:pPr>
              <w:spacing w:line="480" w:lineRule="auto"/>
              <w:jc w:val="center"/>
              <w:rPr>
                <w:b/>
                <w:bCs/>
                <w:sz w:val="22"/>
                <w:szCs w:val="22"/>
                <w:lang w:val="en-GB"/>
              </w:rPr>
            </w:pPr>
            <w:r>
              <w:rPr>
                <w:b/>
                <w:bCs/>
                <w:sz w:val="22"/>
                <w:szCs w:val="22"/>
                <w:lang w:val="en-GB"/>
              </w:rPr>
              <w:t>Absolute reduction (in deaths per 100,000)</w:t>
            </w:r>
          </w:p>
        </w:tc>
        <w:tc>
          <w:tcPr>
            <w:tcW w:w="1128" w:type="dxa"/>
            <w:tcBorders>
              <w:top w:val="single" w:sz="4" w:space="0" w:color="auto"/>
              <w:left w:val="nil"/>
              <w:bottom w:val="single" w:sz="4" w:space="0" w:color="auto"/>
              <w:right w:val="single" w:sz="8" w:space="0" w:color="auto"/>
            </w:tcBorders>
            <w:shd w:val="clear" w:color="auto" w:fill="auto"/>
            <w:noWrap/>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95%-CI</w:t>
            </w:r>
          </w:p>
        </w:tc>
        <w:tc>
          <w:tcPr>
            <w:tcW w:w="1316" w:type="dxa"/>
            <w:tcBorders>
              <w:top w:val="single" w:sz="4" w:space="0" w:color="auto"/>
              <w:left w:val="nil"/>
              <w:bottom w:val="single" w:sz="4" w:space="0" w:color="auto"/>
              <w:right w:val="nil"/>
            </w:tcBorders>
            <w:shd w:val="clear" w:color="auto" w:fill="auto"/>
            <w:noWrap/>
            <w:vAlign w:val="bottom"/>
          </w:tcPr>
          <w:p w:rsidR="00E60955" w:rsidRPr="00924C77" w:rsidRDefault="00E60955" w:rsidP="00E614D4">
            <w:pPr>
              <w:spacing w:line="480" w:lineRule="auto"/>
              <w:jc w:val="center"/>
              <w:rPr>
                <w:b/>
                <w:bCs/>
                <w:sz w:val="22"/>
                <w:szCs w:val="22"/>
                <w:lang w:val="en-GB"/>
              </w:rPr>
            </w:pPr>
            <w:r>
              <w:rPr>
                <w:b/>
                <w:bCs/>
                <w:sz w:val="22"/>
                <w:szCs w:val="22"/>
                <w:lang w:val="en-GB"/>
              </w:rPr>
              <w:t>Absolute reduction (in deaths per 100,000)</w:t>
            </w:r>
          </w:p>
        </w:tc>
        <w:tc>
          <w:tcPr>
            <w:tcW w:w="1444" w:type="dxa"/>
            <w:tcBorders>
              <w:top w:val="single" w:sz="4" w:space="0" w:color="auto"/>
              <w:left w:val="nil"/>
              <w:bottom w:val="single" w:sz="4" w:space="0" w:color="auto"/>
              <w:right w:val="single" w:sz="8" w:space="0" w:color="auto"/>
            </w:tcBorders>
            <w:shd w:val="clear" w:color="auto" w:fill="auto"/>
            <w:noWrap/>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95%-CI</w:t>
            </w:r>
          </w:p>
        </w:tc>
        <w:tc>
          <w:tcPr>
            <w:tcW w:w="1332" w:type="dxa"/>
            <w:gridSpan w:val="2"/>
            <w:tcBorders>
              <w:top w:val="single" w:sz="4" w:space="0" w:color="auto"/>
              <w:left w:val="nil"/>
              <w:bottom w:val="single" w:sz="4" w:space="0" w:color="auto"/>
              <w:right w:val="nil"/>
            </w:tcBorders>
            <w:shd w:val="clear" w:color="auto" w:fill="auto"/>
            <w:noWrap/>
            <w:vAlign w:val="bottom"/>
          </w:tcPr>
          <w:p w:rsidR="00E60955" w:rsidRPr="00924C77" w:rsidRDefault="00E60955" w:rsidP="00E614D4">
            <w:pPr>
              <w:spacing w:line="480" w:lineRule="auto"/>
              <w:jc w:val="center"/>
              <w:rPr>
                <w:b/>
                <w:bCs/>
                <w:sz w:val="22"/>
                <w:szCs w:val="22"/>
                <w:lang w:val="en-GB"/>
              </w:rPr>
            </w:pPr>
            <w:r>
              <w:rPr>
                <w:b/>
                <w:bCs/>
                <w:sz w:val="22"/>
                <w:szCs w:val="22"/>
                <w:lang w:val="en-GB"/>
              </w:rPr>
              <w:t>Absolute reduction (in deaths per 100,000)</w:t>
            </w:r>
          </w:p>
        </w:tc>
        <w:tc>
          <w:tcPr>
            <w:tcW w:w="1332" w:type="dxa"/>
            <w:tcBorders>
              <w:top w:val="single" w:sz="4" w:space="0" w:color="auto"/>
              <w:left w:val="nil"/>
              <w:bottom w:val="single" w:sz="4" w:space="0" w:color="auto"/>
              <w:right w:val="single" w:sz="8" w:space="0" w:color="auto"/>
            </w:tcBorders>
            <w:shd w:val="clear" w:color="auto" w:fill="auto"/>
            <w:noWrap/>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95%-CI</w:t>
            </w:r>
          </w:p>
        </w:tc>
        <w:tc>
          <w:tcPr>
            <w:tcW w:w="1154" w:type="dxa"/>
            <w:tcBorders>
              <w:top w:val="single" w:sz="4" w:space="0" w:color="auto"/>
              <w:left w:val="nil"/>
              <w:bottom w:val="single" w:sz="4" w:space="0" w:color="auto"/>
              <w:right w:val="nil"/>
            </w:tcBorders>
            <w:shd w:val="clear" w:color="auto" w:fill="auto"/>
            <w:noWrap/>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Men</w:t>
            </w:r>
          </w:p>
        </w:tc>
        <w:tc>
          <w:tcPr>
            <w:tcW w:w="1128" w:type="dxa"/>
            <w:tcBorders>
              <w:top w:val="single" w:sz="4" w:space="0" w:color="auto"/>
              <w:left w:val="nil"/>
              <w:bottom w:val="single" w:sz="4" w:space="0" w:color="auto"/>
              <w:right w:val="single" w:sz="8" w:space="0" w:color="auto"/>
            </w:tcBorders>
            <w:shd w:val="clear" w:color="auto" w:fill="auto"/>
            <w:noWrap/>
            <w:vAlign w:val="bottom"/>
          </w:tcPr>
          <w:p w:rsidR="00E60955" w:rsidRPr="00924C77" w:rsidRDefault="00E60955" w:rsidP="00E614D4">
            <w:pPr>
              <w:spacing w:line="480" w:lineRule="auto"/>
              <w:jc w:val="center"/>
              <w:rPr>
                <w:b/>
                <w:bCs/>
                <w:sz w:val="22"/>
                <w:szCs w:val="22"/>
                <w:lang w:val="en-GB"/>
              </w:rPr>
            </w:pPr>
            <w:r w:rsidRPr="00924C77">
              <w:rPr>
                <w:b/>
                <w:bCs/>
                <w:sz w:val="22"/>
                <w:szCs w:val="22"/>
                <w:lang w:val="en-GB"/>
              </w:rPr>
              <w:t>Women</w:t>
            </w:r>
          </w:p>
        </w:tc>
      </w:tr>
      <w:tr w:rsidR="00E60955" w:rsidRPr="00924C77" w:rsidTr="00A117E5">
        <w:trPr>
          <w:trHeight w:val="300"/>
        </w:trPr>
        <w:tc>
          <w:tcPr>
            <w:tcW w:w="2241" w:type="dxa"/>
            <w:tcBorders>
              <w:top w:val="single" w:sz="4" w:space="0" w:color="auto"/>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Finland</w:t>
            </w:r>
          </w:p>
        </w:tc>
        <w:tc>
          <w:tcPr>
            <w:tcW w:w="1340" w:type="dxa"/>
            <w:tcBorders>
              <w:top w:val="single" w:sz="4" w:space="0" w:color="auto"/>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60</w:t>
            </w:r>
          </w:p>
        </w:tc>
        <w:tc>
          <w:tcPr>
            <w:tcW w:w="1295" w:type="dxa"/>
            <w:tcBorders>
              <w:top w:val="single" w:sz="4" w:space="0" w:color="auto"/>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w:t>
            </w:r>
            <w:r>
              <w:rPr>
                <w:sz w:val="22"/>
                <w:szCs w:val="22"/>
                <w:lang w:val="en-GB"/>
              </w:rPr>
              <w:t>8</w:t>
            </w:r>
            <w:r w:rsidRPr="00924C77">
              <w:rPr>
                <w:sz w:val="22"/>
                <w:szCs w:val="22"/>
                <w:lang w:val="en-GB"/>
              </w:rPr>
              <w:t>–63)</w:t>
            </w:r>
          </w:p>
        </w:tc>
        <w:tc>
          <w:tcPr>
            <w:tcW w:w="1316" w:type="dxa"/>
            <w:tcBorders>
              <w:top w:val="single" w:sz="4" w:space="0" w:color="auto"/>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42</w:t>
            </w:r>
          </w:p>
        </w:tc>
        <w:tc>
          <w:tcPr>
            <w:tcW w:w="1128" w:type="dxa"/>
            <w:tcBorders>
              <w:top w:val="single" w:sz="4" w:space="0" w:color="auto"/>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(41–44)</w:t>
            </w:r>
          </w:p>
        </w:tc>
        <w:tc>
          <w:tcPr>
            <w:tcW w:w="1316" w:type="dxa"/>
            <w:tcBorders>
              <w:top w:val="single" w:sz="4" w:space="0" w:color="auto"/>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371</w:t>
            </w:r>
          </w:p>
        </w:tc>
        <w:tc>
          <w:tcPr>
            <w:tcW w:w="1444" w:type="dxa"/>
            <w:tcBorders>
              <w:top w:val="single" w:sz="4" w:space="0" w:color="auto"/>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(361–381)</w:t>
            </w:r>
          </w:p>
        </w:tc>
        <w:tc>
          <w:tcPr>
            <w:tcW w:w="1187" w:type="dxa"/>
            <w:tcBorders>
              <w:top w:val="single" w:sz="4" w:space="0" w:color="auto"/>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142</w:t>
            </w:r>
          </w:p>
        </w:tc>
        <w:tc>
          <w:tcPr>
            <w:tcW w:w="1477" w:type="dxa"/>
            <w:gridSpan w:val="2"/>
            <w:tcBorders>
              <w:top w:val="single" w:sz="4" w:space="0" w:color="auto"/>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(13</w:t>
            </w:r>
            <w:r>
              <w:rPr>
                <w:sz w:val="22"/>
                <w:szCs w:val="22"/>
                <w:lang w:val="en-GB"/>
              </w:rPr>
              <w:t>4</w:t>
            </w:r>
            <w:r w:rsidRPr="00924C77">
              <w:rPr>
                <w:sz w:val="22"/>
                <w:szCs w:val="22"/>
                <w:lang w:val="en-GB"/>
              </w:rPr>
              <w:t>–1</w:t>
            </w:r>
            <w:r>
              <w:rPr>
                <w:sz w:val="22"/>
                <w:szCs w:val="22"/>
                <w:lang w:val="en-GB"/>
              </w:rPr>
              <w:t>50</w:t>
            </w:r>
            <w:r w:rsidRPr="00924C77">
              <w:rPr>
                <w:sz w:val="22"/>
                <w:szCs w:val="22"/>
                <w:lang w:val="en-GB"/>
              </w:rPr>
              <w:t>)</w:t>
            </w:r>
          </w:p>
        </w:tc>
        <w:tc>
          <w:tcPr>
            <w:tcW w:w="1154" w:type="dxa"/>
            <w:tcBorders>
              <w:top w:val="single" w:sz="4" w:space="0" w:color="auto"/>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16</w:t>
            </w:r>
          </w:p>
        </w:tc>
        <w:tc>
          <w:tcPr>
            <w:tcW w:w="1128" w:type="dxa"/>
            <w:tcBorders>
              <w:top w:val="single" w:sz="4" w:space="0" w:color="auto"/>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30</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Sweden</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32</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0</w:t>
            </w:r>
            <w:r w:rsidRPr="00924C77">
              <w:rPr>
                <w:sz w:val="22"/>
                <w:szCs w:val="22"/>
                <w:lang w:val="en-GB"/>
              </w:rPr>
              <w:t>–3</w:t>
            </w:r>
            <w:r>
              <w:rPr>
                <w:sz w:val="22"/>
                <w:szCs w:val="22"/>
                <w:lang w:val="en-GB"/>
              </w:rPr>
              <w:t>3</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Pr>
                <w:sz w:val="22"/>
                <w:szCs w:val="22"/>
                <w:lang w:val="en-GB"/>
              </w:rPr>
              <w:t>29</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28</w:t>
            </w:r>
            <w:r w:rsidRPr="00924C77">
              <w:rPr>
                <w:sz w:val="22"/>
                <w:szCs w:val="22"/>
                <w:lang w:val="en-GB"/>
              </w:rPr>
              <w:t>–3</w:t>
            </w:r>
            <w:r>
              <w:rPr>
                <w:sz w:val="22"/>
                <w:szCs w:val="22"/>
                <w:lang w:val="en-GB"/>
              </w:rPr>
              <w:t>0</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251</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(24</w:t>
            </w:r>
            <w:r>
              <w:rPr>
                <w:sz w:val="22"/>
                <w:szCs w:val="22"/>
                <w:lang w:val="en-GB"/>
              </w:rPr>
              <w:t>2</w:t>
            </w:r>
            <w:r w:rsidRPr="00924C77">
              <w:rPr>
                <w:sz w:val="22"/>
                <w:szCs w:val="22"/>
                <w:lang w:val="en-GB"/>
              </w:rPr>
              <w:t>–25</w:t>
            </w:r>
            <w:r>
              <w:rPr>
                <w:sz w:val="22"/>
                <w:szCs w:val="22"/>
                <w:lang w:val="en-GB"/>
              </w:rPr>
              <w:t>8</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w:t>
            </w:r>
            <w:r>
              <w:rPr>
                <w:sz w:val="22"/>
                <w:szCs w:val="22"/>
                <w:lang w:val="en-GB"/>
              </w:rPr>
              <w:t>45</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w:t>
            </w:r>
            <w:r>
              <w:rPr>
                <w:sz w:val="22"/>
                <w:szCs w:val="22"/>
                <w:lang w:val="en-GB"/>
              </w:rPr>
              <w:t>39</w:t>
            </w:r>
            <w:r w:rsidRPr="00924C77">
              <w:rPr>
                <w:sz w:val="22"/>
                <w:szCs w:val="22"/>
                <w:lang w:val="en-GB"/>
              </w:rPr>
              <w:t>–1</w:t>
            </w:r>
            <w:r>
              <w:rPr>
                <w:sz w:val="22"/>
                <w:szCs w:val="22"/>
                <w:lang w:val="en-GB"/>
              </w:rPr>
              <w:t>52</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13</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20</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Norway</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43</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(41–45)</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5</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3</w:t>
            </w:r>
            <w:r w:rsidRPr="00924C77">
              <w:rPr>
                <w:sz w:val="22"/>
                <w:szCs w:val="22"/>
                <w:lang w:val="en-GB"/>
              </w:rPr>
              <w:t>–37)</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28</w:t>
            </w:r>
            <w:r>
              <w:rPr>
                <w:sz w:val="22"/>
                <w:szCs w:val="22"/>
                <w:lang w:val="en-GB"/>
              </w:rPr>
              <w:t>0</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w:t>
            </w:r>
            <w:r>
              <w:rPr>
                <w:sz w:val="22"/>
                <w:szCs w:val="22"/>
                <w:lang w:val="en-GB"/>
              </w:rPr>
              <w:t>67</w:t>
            </w:r>
            <w:r w:rsidRPr="00924C77">
              <w:rPr>
                <w:sz w:val="22"/>
                <w:szCs w:val="22"/>
                <w:lang w:val="en-GB"/>
              </w:rPr>
              <w:t>–29</w:t>
            </w:r>
            <w:r>
              <w:rPr>
                <w:sz w:val="22"/>
                <w:szCs w:val="22"/>
                <w:lang w:val="en-GB"/>
              </w:rPr>
              <w:t>2</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150</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(139–16</w:t>
            </w:r>
            <w:r>
              <w:rPr>
                <w:sz w:val="22"/>
                <w:szCs w:val="22"/>
                <w:lang w:val="en-GB"/>
              </w:rPr>
              <w:t>0</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15</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23</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Denmark</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Pr>
                <w:sz w:val="22"/>
                <w:szCs w:val="22"/>
                <w:lang w:val="en-GB"/>
              </w:rPr>
              <w:t>20</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19</w:t>
            </w:r>
            <w:r w:rsidRPr="00924C77">
              <w:rPr>
                <w:sz w:val="22"/>
                <w:szCs w:val="22"/>
                <w:lang w:val="en-GB"/>
              </w:rPr>
              <w:t>–</w:t>
            </w:r>
            <w:r>
              <w:rPr>
                <w:sz w:val="22"/>
                <w:szCs w:val="22"/>
                <w:lang w:val="en-GB"/>
              </w:rPr>
              <w:t>21</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3</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(31–34)</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42</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29</w:t>
            </w:r>
            <w:r w:rsidRPr="00924C77">
              <w:rPr>
                <w:sz w:val="22"/>
                <w:szCs w:val="22"/>
                <w:lang w:val="en-GB"/>
              </w:rPr>
              <w:t>–3</w:t>
            </w:r>
            <w:r>
              <w:rPr>
                <w:sz w:val="22"/>
                <w:szCs w:val="22"/>
                <w:lang w:val="en-GB"/>
              </w:rPr>
              <w:t>54</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Pr>
                <w:sz w:val="22"/>
                <w:szCs w:val="22"/>
                <w:lang w:val="en-GB"/>
              </w:rPr>
              <w:t>201</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(18</w:t>
            </w:r>
            <w:r>
              <w:rPr>
                <w:sz w:val="22"/>
                <w:szCs w:val="22"/>
                <w:lang w:val="en-GB"/>
              </w:rPr>
              <w:t>8</w:t>
            </w:r>
            <w:r w:rsidRPr="00924C77">
              <w:rPr>
                <w:sz w:val="22"/>
                <w:szCs w:val="22"/>
                <w:lang w:val="en-GB"/>
              </w:rPr>
              <w:t>–21</w:t>
            </w:r>
            <w:r>
              <w:rPr>
                <w:sz w:val="22"/>
                <w:szCs w:val="22"/>
                <w:lang w:val="en-GB"/>
              </w:rPr>
              <w:t>3</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6</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16</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BD2F47" w:rsidP="00E614D4">
            <w:pPr>
              <w:spacing w:line="480" w:lineRule="auto"/>
              <w:rPr>
                <w:b/>
                <w:bCs/>
                <w:sz w:val="22"/>
                <w:szCs w:val="22"/>
                <w:lang w:val="en-GB"/>
              </w:rPr>
            </w:pPr>
            <w:r>
              <w:rPr>
                <w:b/>
                <w:bCs/>
                <w:sz w:val="22"/>
                <w:szCs w:val="22"/>
                <w:lang w:val="en-GB"/>
              </w:rPr>
              <w:t xml:space="preserve">England &amp; </w:t>
            </w:r>
            <w:r w:rsidR="00E60955" w:rsidRPr="00924C77">
              <w:rPr>
                <w:b/>
                <w:bCs/>
                <w:sz w:val="22"/>
                <w:szCs w:val="22"/>
                <w:lang w:val="en-GB"/>
              </w:rPr>
              <w:t>Wales</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27</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(23–3</w:t>
            </w:r>
            <w:r>
              <w:rPr>
                <w:sz w:val="22"/>
                <w:szCs w:val="22"/>
                <w:lang w:val="en-GB"/>
              </w:rPr>
              <w:t>0</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24</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(20–27)</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267</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(228–307)</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162</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w:t>
            </w:r>
            <w:r>
              <w:rPr>
                <w:sz w:val="22"/>
                <w:szCs w:val="22"/>
                <w:lang w:val="en-GB"/>
              </w:rPr>
              <w:t>31</w:t>
            </w:r>
            <w:r w:rsidRPr="00924C77">
              <w:rPr>
                <w:sz w:val="22"/>
                <w:szCs w:val="22"/>
                <w:lang w:val="en-GB"/>
              </w:rPr>
              <w:t>–19</w:t>
            </w:r>
            <w:r>
              <w:rPr>
                <w:sz w:val="22"/>
                <w:szCs w:val="22"/>
                <w:lang w:val="en-GB"/>
              </w:rPr>
              <w:t>4</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10</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15</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Scotland</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54</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(43–63)</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49</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(42–5</w:t>
            </w:r>
            <w:r>
              <w:rPr>
                <w:sz w:val="22"/>
                <w:szCs w:val="22"/>
                <w:lang w:val="en-GB"/>
              </w:rPr>
              <w:t>8</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328</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(28</w:t>
            </w:r>
            <w:r>
              <w:rPr>
                <w:sz w:val="22"/>
                <w:szCs w:val="22"/>
                <w:lang w:val="en-GB"/>
              </w:rPr>
              <w:t>6</w:t>
            </w:r>
            <w:r w:rsidRPr="00924C77">
              <w:rPr>
                <w:sz w:val="22"/>
                <w:szCs w:val="22"/>
                <w:lang w:val="en-GB"/>
              </w:rPr>
              <w:t>–36</w:t>
            </w:r>
            <w:r>
              <w:rPr>
                <w:sz w:val="22"/>
                <w:szCs w:val="22"/>
                <w:lang w:val="en-GB"/>
              </w:rPr>
              <w:t>8</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196</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(160–231)</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16</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25</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Netherlands</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(14–18)</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(17–24)</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234</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w:t>
            </w:r>
            <w:r>
              <w:rPr>
                <w:sz w:val="22"/>
                <w:szCs w:val="22"/>
                <w:lang w:val="en-GB"/>
              </w:rPr>
              <w:t>2</w:t>
            </w:r>
            <w:r w:rsidRPr="00924C77">
              <w:rPr>
                <w:sz w:val="22"/>
                <w:szCs w:val="22"/>
                <w:lang w:val="en-GB"/>
              </w:rPr>
              <w:t>–26</w:t>
            </w:r>
            <w:r>
              <w:rPr>
                <w:sz w:val="22"/>
                <w:szCs w:val="22"/>
                <w:lang w:val="en-GB"/>
              </w:rPr>
              <w:t>7</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113</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w:t>
            </w:r>
            <w:r>
              <w:rPr>
                <w:sz w:val="22"/>
                <w:szCs w:val="22"/>
                <w:lang w:val="en-GB"/>
              </w:rPr>
              <w:t>2</w:t>
            </w:r>
            <w:r w:rsidRPr="00924C77">
              <w:rPr>
                <w:sz w:val="22"/>
                <w:szCs w:val="22"/>
                <w:lang w:val="en-GB"/>
              </w:rPr>
              <w:t>–15</w:t>
            </w:r>
            <w:r>
              <w:rPr>
                <w:sz w:val="22"/>
                <w:szCs w:val="22"/>
                <w:lang w:val="en-GB"/>
              </w:rPr>
              <w:t>0</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7</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18</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Belgium</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45</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w:t>
            </w:r>
            <w:r>
              <w:rPr>
                <w:sz w:val="22"/>
                <w:szCs w:val="22"/>
                <w:lang w:val="en-GB"/>
              </w:rPr>
              <w:t>4</w:t>
            </w:r>
            <w:r w:rsidRPr="00924C77">
              <w:rPr>
                <w:sz w:val="22"/>
                <w:szCs w:val="22"/>
                <w:lang w:val="en-GB"/>
              </w:rPr>
              <w:t>–4</w:t>
            </w:r>
            <w:r>
              <w:rPr>
                <w:sz w:val="22"/>
                <w:szCs w:val="22"/>
                <w:lang w:val="en-GB"/>
              </w:rPr>
              <w:t>7</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w:t>
            </w:r>
            <w:r>
              <w:rPr>
                <w:sz w:val="22"/>
                <w:szCs w:val="22"/>
                <w:lang w:val="en-GB"/>
              </w:rPr>
              <w:t>6</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(25–28)</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11</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301</w:t>
            </w:r>
            <w:r w:rsidRPr="00924C77">
              <w:rPr>
                <w:sz w:val="22"/>
                <w:szCs w:val="22"/>
                <w:lang w:val="en-GB"/>
              </w:rPr>
              <w:t>–3</w:t>
            </w:r>
            <w:r>
              <w:rPr>
                <w:sz w:val="22"/>
                <w:szCs w:val="22"/>
                <w:lang w:val="en-GB"/>
              </w:rPr>
              <w:t>21</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14</w:t>
            </w:r>
            <w:r>
              <w:rPr>
                <w:sz w:val="22"/>
                <w:szCs w:val="22"/>
                <w:lang w:val="en-GB"/>
              </w:rPr>
              <w:t>6</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w:t>
            </w:r>
            <w:r>
              <w:rPr>
                <w:sz w:val="22"/>
                <w:szCs w:val="22"/>
                <w:lang w:val="en-GB"/>
              </w:rPr>
              <w:t>38</w:t>
            </w:r>
            <w:r w:rsidRPr="00924C77">
              <w:rPr>
                <w:sz w:val="22"/>
                <w:szCs w:val="22"/>
                <w:lang w:val="en-GB"/>
              </w:rPr>
              <w:t>–15</w:t>
            </w:r>
            <w:r>
              <w:rPr>
                <w:sz w:val="22"/>
                <w:szCs w:val="22"/>
                <w:lang w:val="en-GB"/>
              </w:rPr>
              <w:t>4</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14</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18</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France</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52</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w:t>
            </w:r>
            <w:r>
              <w:rPr>
                <w:sz w:val="22"/>
                <w:szCs w:val="22"/>
                <w:lang w:val="en-GB"/>
              </w:rPr>
              <w:t>6</w:t>
            </w:r>
            <w:r w:rsidRPr="00924C77">
              <w:rPr>
                <w:sz w:val="22"/>
                <w:szCs w:val="22"/>
                <w:lang w:val="en-GB"/>
              </w:rPr>
              <w:t>–57)</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23</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(18–29)</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392</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(35</w:t>
            </w:r>
            <w:r>
              <w:rPr>
                <w:sz w:val="22"/>
                <w:szCs w:val="22"/>
                <w:lang w:val="en-GB"/>
              </w:rPr>
              <w:t>5</w:t>
            </w:r>
            <w:r w:rsidRPr="00924C77">
              <w:rPr>
                <w:sz w:val="22"/>
                <w:szCs w:val="22"/>
                <w:lang w:val="en-GB"/>
              </w:rPr>
              <w:t>–4</w:t>
            </w:r>
            <w:r>
              <w:rPr>
                <w:sz w:val="22"/>
                <w:szCs w:val="22"/>
                <w:lang w:val="en-GB"/>
              </w:rPr>
              <w:t>31</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115</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81</w:t>
            </w:r>
            <w:r w:rsidRPr="00924C77">
              <w:rPr>
                <w:sz w:val="22"/>
                <w:szCs w:val="22"/>
                <w:lang w:val="en-GB"/>
              </w:rPr>
              <w:t>–148)</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13</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20</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lastRenderedPageBreak/>
              <w:t>Switzerland</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1</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(29–32)</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(16–1</w:t>
            </w:r>
            <w:r>
              <w:rPr>
                <w:sz w:val="22"/>
                <w:szCs w:val="22"/>
                <w:lang w:val="en-GB"/>
              </w:rPr>
              <w:t>9</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w:t>
            </w:r>
            <w:r>
              <w:rPr>
                <w:sz w:val="22"/>
                <w:szCs w:val="22"/>
                <w:lang w:val="en-GB"/>
              </w:rPr>
              <w:t>5</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(197–21</w:t>
            </w:r>
            <w:r>
              <w:rPr>
                <w:sz w:val="22"/>
                <w:szCs w:val="22"/>
                <w:lang w:val="en-GB"/>
              </w:rPr>
              <w:t>3</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78</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w:t>
            </w:r>
            <w:r>
              <w:rPr>
                <w:sz w:val="22"/>
                <w:szCs w:val="22"/>
                <w:lang w:val="en-GB"/>
              </w:rPr>
              <w:t>5</w:t>
            </w:r>
            <w:r w:rsidRPr="00924C77">
              <w:rPr>
                <w:sz w:val="22"/>
                <w:szCs w:val="22"/>
                <w:lang w:val="en-GB"/>
              </w:rPr>
              <w:t>–90)</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15</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22</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Austria</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23</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(20–25)</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(14–19)</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329</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(303–354)</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129</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(98–</w:t>
            </w:r>
            <w:r>
              <w:rPr>
                <w:sz w:val="22"/>
                <w:szCs w:val="22"/>
                <w:lang w:val="en-GB"/>
              </w:rPr>
              <w:t>161</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7</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13</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Barcelona</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30</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(27–32)</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(14–19)</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207</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(19</w:t>
            </w:r>
            <w:r>
              <w:rPr>
                <w:sz w:val="22"/>
                <w:szCs w:val="22"/>
                <w:lang w:val="en-GB"/>
              </w:rPr>
              <w:t>2</w:t>
            </w:r>
            <w:r w:rsidRPr="00924C77">
              <w:rPr>
                <w:sz w:val="22"/>
                <w:szCs w:val="22"/>
                <w:lang w:val="en-GB"/>
              </w:rPr>
              <w:t>–224)</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68</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w:t>
            </w:r>
            <w:r>
              <w:rPr>
                <w:sz w:val="22"/>
                <w:szCs w:val="22"/>
                <w:lang w:val="en-GB"/>
              </w:rPr>
              <w:t>6</w:t>
            </w:r>
            <w:r w:rsidRPr="00924C77">
              <w:rPr>
                <w:sz w:val="22"/>
                <w:szCs w:val="22"/>
                <w:lang w:val="en-GB"/>
              </w:rPr>
              <w:t>–81)</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14</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25</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Basque</w:t>
            </w:r>
            <w:r w:rsidR="00BD2F47">
              <w:rPr>
                <w:b/>
                <w:bCs/>
                <w:sz w:val="22"/>
                <w:szCs w:val="22"/>
                <w:lang w:val="en-GB"/>
              </w:rPr>
              <w:t xml:space="preserve"> Country</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46</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(41–51)</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14</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(10–18)</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182</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w:t>
            </w:r>
            <w:r>
              <w:rPr>
                <w:sz w:val="22"/>
                <w:szCs w:val="22"/>
                <w:lang w:val="en-GB"/>
              </w:rPr>
              <w:t>59</w:t>
            </w:r>
            <w:r w:rsidRPr="00924C77">
              <w:rPr>
                <w:sz w:val="22"/>
                <w:szCs w:val="22"/>
                <w:lang w:val="en-GB"/>
              </w:rPr>
              <w:t>–205)</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45</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w:t>
            </w:r>
            <w:r>
              <w:rPr>
                <w:sz w:val="22"/>
                <w:szCs w:val="22"/>
                <w:lang w:val="en-GB"/>
              </w:rPr>
              <w:t>2</w:t>
            </w:r>
            <w:r w:rsidRPr="00924C77">
              <w:rPr>
                <w:sz w:val="22"/>
                <w:szCs w:val="22"/>
                <w:lang w:val="en-GB"/>
              </w:rPr>
              <w:t>–6</w:t>
            </w:r>
            <w:r>
              <w:rPr>
                <w:sz w:val="22"/>
                <w:szCs w:val="22"/>
                <w:lang w:val="en-GB"/>
              </w:rPr>
              <w:t>5</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25</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31</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Madrid</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32</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30</w:t>
            </w:r>
            <w:r w:rsidRPr="00924C77">
              <w:rPr>
                <w:sz w:val="22"/>
                <w:szCs w:val="22"/>
                <w:lang w:val="en-GB"/>
              </w:rPr>
              <w:t>–36)</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8</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(5–12)</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221</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(19</w:t>
            </w:r>
            <w:r>
              <w:rPr>
                <w:sz w:val="22"/>
                <w:szCs w:val="22"/>
                <w:lang w:val="en-GB"/>
              </w:rPr>
              <w:t>6</w:t>
            </w:r>
            <w:r w:rsidRPr="00924C77">
              <w:rPr>
                <w:sz w:val="22"/>
                <w:szCs w:val="22"/>
                <w:lang w:val="en-GB"/>
              </w:rPr>
              <w:t>–24</w:t>
            </w:r>
            <w:r>
              <w:rPr>
                <w:sz w:val="22"/>
                <w:szCs w:val="22"/>
                <w:lang w:val="en-GB"/>
              </w:rPr>
              <w:t>6</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77</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53</w:t>
            </w:r>
            <w:r w:rsidRPr="00924C77">
              <w:rPr>
                <w:sz w:val="22"/>
                <w:szCs w:val="22"/>
                <w:lang w:val="en-GB"/>
              </w:rPr>
              <w:t>–9</w:t>
            </w:r>
            <w:r>
              <w:rPr>
                <w:sz w:val="22"/>
                <w:szCs w:val="22"/>
                <w:lang w:val="en-GB"/>
              </w:rPr>
              <w:t>8</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14</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10</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Turin</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27</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(24–30)</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w:t>
            </w:r>
            <w:r>
              <w:rPr>
                <w:sz w:val="22"/>
                <w:szCs w:val="22"/>
                <w:lang w:val="en-GB"/>
              </w:rPr>
              <w:t>4</w:t>
            </w:r>
            <w:r w:rsidRPr="00924C77">
              <w:rPr>
                <w:sz w:val="22"/>
                <w:szCs w:val="22"/>
                <w:lang w:val="en-GB"/>
              </w:rPr>
              <w:t>–10)</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209</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(177–24</w:t>
            </w:r>
            <w:r>
              <w:rPr>
                <w:sz w:val="22"/>
                <w:szCs w:val="22"/>
                <w:lang w:val="en-GB"/>
              </w:rPr>
              <w:t>1</w:t>
            </w:r>
            <w:r w:rsidRPr="00924C77">
              <w:rPr>
                <w:sz w:val="22"/>
                <w:szCs w:val="22"/>
                <w:lang w:val="en-GB"/>
              </w:rPr>
              <w:t>)</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38</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w:t>
            </w:r>
            <w:r>
              <w:rPr>
                <w:sz w:val="22"/>
                <w:szCs w:val="22"/>
                <w:lang w:val="en-GB"/>
              </w:rPr>
              <w:t>67</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13</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18</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Tuscany</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21</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w:t>
            </w:r>
            <w:r>
              <w:rPr>
                <w:sz w:val="22"/>
                <w:szCs w:val="22"/>
                <w:lang w:val="en-GB"/>
              </w:rPr>
              <w:t>6</w:t>
            </w:r>
            <w:r w:rsidRPr="00924C77">
              <w:rPr>
                <w:sz w:val="22"/>
                <w:szCs w:val="22"/>
                <w:lang w:val="en-GB"/>
              </w:rPr>
              <w:t>–25)</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12</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(7–1</w:t>
            </w:r>
            <w:r>
              <w:rPr>
                <w:sz w:val="22"/>
                <w:szCs w:val="22"/>
                <w:lang w:val="en-GB"/>
              </w:rPr>
              <w:t>6</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222</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(18</w:t>
            </w:r>
            <w:r>
              <w:rPr>
                <w:sz w:val="22"/>
                <w:szCs w:val="22"/>
                <w:lang w:val="en-GB"/>
              </w:rPr>
              <w:t>0</w:t>
            </w:r>
            <w:r w:rsidRPr="00924C77">
              <w:rPr>
                <w:sz w:val="22"/>
                <w:szCs w:val="22"/>
                <w:lang w:val="en-GB"/>
              </w:rPr>
              <w:t>–262)</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71</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w:t>
            </w:r>
            <w:r>
              <w:rPr>
                <w:sz w:val="22"/>
                <w:szCs w:val="22"/>
                <w:lang w:val="en-GB"/>
              </w:rPr>
              <w:t>0</w:t>
            </w:r>
            <w:r w:rsidRPr="00924C77">
              <w:rPr>
                <w:sz w:val="22"/>
                <w:szCs w:val="22"/>
                <w:lang w:val="en-GB"/>
              </w:rPr>
              <w:t>–10</w:t>
            </w:r>
            <w:r>
              <w:rPr>
                <w:sz w:val="22"/>
                <w:szCs w:val="22"/>
                <w:lang w:val="en-GB"/>
              </w:rPr>
              <w:t>6</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9</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17</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Hungary</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182</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(178–185)</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77</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(76–80)</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973</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(9</w:t>
            </w:r>
            <w:r>
              <w:rPr>
                <w:sz w:val="22"/>
                <w:szCs w:val="22"/>
                <w:lang w:val="en-GB"/>
              </w:rPr>
              <w:t>60</w:t>
            </w:r>
            <w:r w:rsidRPr="00924C77">
              <w:rPr>
                <w:sz w:val="22"/>
                <w:szCs w:val="22"/>
                <w:lang w:val="en-GB"/>
              </w:rPr>
              <w:t>–987)</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275</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Pr>
                <w:sz w:val="22"/>
                <w:szCs w:val="22"/>
                <w:lang w:val="en-GB"/>
              </w:rPr>
              <w:t>(259</w:t>
            </w:r>
            <w:r w:rsidRPr="00924C77">
              <w:rPr>
                <w:sz w:val="22"/>
                <w:szCs w:val="22"/>
                <w:lang w:val="en-GB"/>
              </w:rPr>
              <w:t>–29</w:t>
            </w:r>
            <w:r>
              <w:rPr>
                <w:sz w:val="22"/>
                <w:szCs w:val="22"/>
                <w:lang w:val="en-GB"/>
              </w:rPr>
              <w:t>1</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19</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28</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Czech Republic</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28.6</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(27.9–28.7)</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34</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(33–35)</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810</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(79</w:t>
            </w:r>
            <w:r>
              <w:rPr>
                <w:sz w:val="22"/>
                <w:szCs w:val="22"/>
                <w:lang w:val="en-GB"/>
              </w:rPr>
              <w:t>9</w:t>
            </w:r>
            <w:r w:rsidRPr="00924C77">
              <w:rPr>
                <w:sz w:val="22"/>
                <w:szCs w:val="22"/>
                <w:lang w:val="en-GB"/>
              </w:rPr>
              <w:t>–822)</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351</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(33</w:t>
            </w:r>
            <w:r>
              <w:rPr>
                <w:sz w:val="22"/>
                <w:szCs w:val="22"/>
                <w:lang w:val="en-GB"/>
              </w:rPr>
              <w:t>7</w:t>
            </w:r>
            <w:r w:rsidRPr="00924C77">
              <w:rPr>
                <w:sz w:val="22"/>
                <w:szCs w:val="22"/>
                <w:lang w:val="en-GB"/>
              </w:rPr>
              <w:t>–36</w:t>
            </w:r>
            <w:r>
              <w:rPr>
                <w:sz w:val="22"/>
                <w:szCs w:val="22"/>
                <w:lang w:val="en-GB"/>
              </w:rPr>
              <w:t>5</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4</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10</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Poland</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71</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(69–73)</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40</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(39–42)</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853</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(844–862)</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293</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(28</w:t>
            </w:r>
            <w:r>
              <w:rPr>
                <w:sz w:val="22"/>
                <w:szCs w:val="22"/>
                <w:lang w:val="en-GB"/>
              </w:rPr>
              <w:t>5</w:t>
            </w:r>
            <w:r w:rsidRPr="00924C77">
              <w:rPr>
                <w:sz w:val="22"/>
                <w:szCs w:val="22"/>
                <w:lang w:val="en-GB"/>
              </w:rPr>
              <w:t>–30</w:t>
            </w:r>
            <w:r>
              <w:rPr>
                <w:sz w:val="22"/>
                <w:szCs w:val="22"/>
                <w:lang w:val="en-GB"/>
              </w:rPr>
              <w:t>1</w:t>
            </w:r>
            <w:r w:rsidRPr="00924C77">
              <w:rPr>
                <w:sz w:val="22"/>
                <w:szCs w:val="22"/>
                <w:lang w:val="en-GB"/>
              </w:rPr>
              <w:t>)</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8</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14</w:t>
            </w:r>
          </w:p>
        </w:tc>
      </w:tr>
      <w:tr w:rsidR="00E60955" w:rsidRPr="00924C77" w:rsidTr="00A117E5">
        <w:trPr>
          <w:trHeight w:val="300"/>
        </w:trPr>
        <w:tc>
          <w:tcPr>
            <w:tcW w:w="2241" w:type="dxa"/>
            <w:tcBorders>
              <w:top w:val="nil"/>
              <w:left w:val="single" w:sz="8" w:space="0" w:color="auto"/>
              <w:bottom w:val="nil"/>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Lithuania</w:t>
            </w:r>
          </w:p>
        </w:tc>
        <w:tc>
          <w:tcPr>
            <w:tcW w:w="1340"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114</w:t>
            </w:r>
          </w:p>
        </w:tc>
        <w:tc>
          <w:tcPr>
            <w:tcW w:w="1295"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(110–12</w:t>
            </w:r>
            <w:r>
              <w:rPr>
                <w:sz w:val="22"/>
                <w:szCs w:val="22"/>
                <w:lang w:val="en-GB"/>
              </w:rPr>
              <w:t>2</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57</w:t>
            </w:r>
          </w:p>
        </w:tc>
        <w:tc>
          <w:tcPr>
            <w:tcW w:w="1128"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(53–6</w:t>
            </w:r>
            <w:r>
              <w:rPr>
                <w:sz w:val="22"/>
                <w:szCs w:val="22"/>
                <w:lang w:val="en-GB"/>
              </w:rPr>
              <w:t>0</w:t>
            </w:r>
            <w:r w:rsidRPr="00924C77">
              <w:rPr>
                <w:sz w:val="22"/>
                <w:szCs w:val="22"/>
                <w:lang w:val="en-GB"/>
              </w:rPr>
              <w:t>)</w:t>
            </w:r>
          </w:p>
        </w:tc>
        <w:tc>
          <w:tcPr>
            <w:tcW w:w="1316"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795</w:t>
            </w:r>
          </w:p>
        </w:tc>
        <w:tc>
          <w:tcPr>
            <w:tcW w:w="1444" w:type="dxa"/>
            <w:tcBorders>
              <w:top w:val="nil"/>
              <w:left w:val="nil"/>
              <w:bottom w:val="nil"/>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(77</w:t>
            </w:r>
            <w:r>
              <w:rPr>
                <w:sz w:val="22"/>
                <w:szCs w:val="22"/>
                <w:lang w:val="en-GB"/>
              </w:rPr>
              <w:t>2</w:t>
            </w:r>
            <w:r w:rsidRPr="00924C77">
              <w:rPr>
                <w:sz w:val="22"/>
                <w:szCs w:val="22"/>
                <w:lang w:val="en-GB"/>
              </w:rPr>
              <w:t>–820)</w:t>
            </w:r>
          </w:p>
        </w:tc>
        <w:tc>
          <w:tcPr>
            <w:tcW w:w="1187" w:type="dxa"/>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258</w:t>
            </w:r>
          </w:p>
        </w:tc>
        <w:tc>
          <w:tcPr>
            <w:tcW w:w="1477" w:type="dxa"/>
            <w:gridSpan w:val="2"/>
            <w:tcBorders>
              <w:top w:val="nil"/>
              <w:left w:val="nil"/>
              <w:bottom w:val="nil"/>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(244–273)</w:t>
            </w:r>
          </w:p>
        </w:tc>
        <w:tc>
          <w:tcPr>
            <w:tcW w:w="1154" w:type="dxa"/>
            <w:tcBorders>
              <w:top w:val="nil"/>
              <w:left w:val="single" w:sz="8" w:space="0" w:color="auto"/>
              <w:bottom w:val="nil"/>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14</w:t>
            </w:r>
          </w:p>
        </w:tc>
        <w:tc>
          <w:tcPr>
            <w:tcW w:w="1128" w:type="dxa"/>
            <w:tcBorders>
              <w:top w:val="nil"/>
              <w:left w:val="nil"/>
              <w:bottom w:val="nil"/>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22</w:t>
            </w:r>
          </w:p>
        </w:tc>
      </w:tr>
      <w:tr w:rsidR="00E60955" w:rsidRPr="00924C77" w:rsidTr="00A117E5">
        <w:trPr>
          <w:trHeight w:val="315"/>
        </w:trPr>
        <w:tc>
          <w:tcPr>
            <w:tcW w:w="2241" w:type="dxa"/>
            <w:tcBorders>
              <w:top w:val="nil"/>
              <w:left w:val="single" w:sz="8" w:space="0" w:color="auto"/>
              <w:bottom w:val="single" w:sz="8" w:space="0" w:color="auto"/>
              <w:right w:val="single" w:sz="8" w:space="0" w:color="auto"/>
            </w:tcBorders>
            <w:shd w:val="clear" w:color="auto" w:fill="auto"/>
            <w:noWrap/>
            <w:vAlign w:val="bottom"/>
          </w:tcPr>
          <w:p w:rsidR="00E60955" w:rsidRPr="00924C77" w:rsidRDefault="00E60955" w:rsidP="00E614D4">
            <w:pPr>
              <w:spacing w:line="480" w:lineRule="auto"/>
              <w:rPr>
                <w:b/>
                <w:bCs/>
                <w:sz w:val="22"/>
                <w:szCs w:val="22"/>
                <w:lang w:val="en-GB"/>
              </w:rPr>
            </w:pPr>
            <w:r w:rsidRPr="00924C77">
              <w:rPr>
                <w:b/>
                <w:bCs/>
                <w:sz w:val="22"/>
                <w:szCs w:val="22"/>
                <w:lang w:val="en-GB"/>
              </w:rPr>
              <w:t>Estonia</w:t>
            </w:r>
          </w:p>
        </w:tc>
        <w:tc>
          <w:tcPr>
            <w:tcW w:w="1340" w:type="dxa"/>
            <w:tcBorders>
              <w:top w:val="nil"/>
              <w:left w:val="nil"/>
              <w:bottom w:val="single" w:sz="8" w:space="0" w:color="auto"/>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118</w:t>
            </w:r>
          </w:p>
        </w:tc>
        <w:tc>
          <w:tcPr>
            <w:tcW w:w="1295" w:type="dxa"/>
            <w:tcBorders>
              <w:top w:val="nil"/>
              <w:left w:val="nil"/>
              <w:bottom w:val="single" w:sz="8" w:space="0" w:color="auto"/>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(109–127)</w:t>
            </w:r>
          </w:p>
        </w:tc>
        <w:tc>
          <w:tcPr>
            <w:tcW w:w="1316" w:type="dxa"/>
            <w:tcBorders>
              <w:top w:val="nil"/>
              <w:left w:val="nil"/>
              <w:bottom w:val="single" w:sz="8" w:space="0" w:color="auto"/>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66</w:t>
            </w:r>
          </w:p>
        </w:tc>
        <w:tc>
          <w:tcPr>
            <w:tcW w:w="1128" w:type="dxa"/>
            <w:tcBorders>
              <w:top w:val="nil"/>
              <w:left w:val="nil"/>
              <w:bottom w:val="single" w:sz="8" w:space="0" w:color="auto"/>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(61–7</w:t>
            </w:r>
            <w:r>
              <w:rPr>
                <w:sz w:val="22"/>
                <w:szCs w:val="22"/>
                <w:lang w:val="en-GB"/>
              </w:rPr>
              <w:t>2</w:t>
            </w:r>
            <w:r w:rsidRPr="00924C77">
              <w:rPr>
                <w:sz w:val="22"/>
                <w:szCs w:val="22"/>
                <w:lang w:val="en-GB"/>
              </w:rPr>
              <w:t>)</w:t>
            </w:r>
          </w:p>
        </w:tc>
        <w:tc>
          <w:tcPr>
            <w:tcW w:w="1316" w:type="dxa"/>
            <w:tcBorders>
              <w:top w:val="nil"/>
              <w:left w:val="nil"/>
              <w:bottom w:val="single" w:sz="8" w:space="0" w:color="auto"/>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1063</w:t>
            </w:r>
          </w:p>
        </w:tc>
        <w:tc>
          <w:tcPr>
            <w:tcW w:w="1444" w:type="dxa"/>
            <w:tcBorders>
              <w:top w:val="nil"/>
              <w:left w:val="nil"/>
              <w:bottom w:val="single" w:sz="8" w:space="0" w:color="auto"/>
              <w:right w:val="single" w:sz="8" w:space="0" w:color="auto"/>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(10</w:t>
            </w:r>
            <w:r>
              <w:rPr>
                <w:sz w:val="22"/>
                <w:szCs w:val="22"/>
                <w:lang w:val="en-GB"/>
              </w:rPr>
              <w:t>19</w:t>
            </w:r>
            <w:r w:rsidRPr="00924C77">
              <w:rPr>
                <w:sz w:val="22"/>
                <w:szCs w:val="22"/>
                <w:lang w:val="en-GB"/>
              </w:rPr>
              <w:t>–110</w:t>
            </w:r>
            <w:r>
              <w:rPr>
                <w:sz w:val="22"/>
                <w:szCs w:val="22"/>
                <w:lang w:val="en-GB"/>
              </w:rPr>
              <w:t>0</w:t>
            </w:r>
            <w:r w:rsidRPr="00924C77">
              <w:rPr>
                <w:sz w:val="22"/>
                <w:szCs w:val="22"/>
                <w:lang w:val="en-GB"/>
              </w:rPr>
              <w:t>)</w:t>
            </w:r>
          </w:p>
        </w:tc>
        <w:tc>
          <w:tcPr>
            <w:tcW w:w="1187" w:type="dxa"/>
            <w:tcBorders>
              <w:top w:val="nil"/>
              <w:left w:val="nil"/>
              <w:bottom w:val="single" w:sz="8" w:space="0" w:color="auto"/>
              <w:right w:val="nil"/>
            </w:tcBorders>
            <w:shd w:val="clear" w:color="auto" w:fill="auto"/>
            <w:noWrap/>
            <w:vAlign w:val="bottom"/>
          </w:tcPr>
          <w:p w:rsidR="00E60955" w:rsidRPr="00924C77" w:rsidRDefault="00E60955" w:rsidP="00E614D4">
            <w:pPr>
              <w:spacing w:line="480" w:lineRule="auto"/>
              <w:jc w:val="center"/>
              <w:rPr>
                <w:sz w:val="22"/>
                <w:szCs w:val="22"/>
                <w:lang w:val="en-GB"/>
              </w:rPr>
            </w:pPr>
            <w:r w:rsidRPr="00924C77">
              <w:rPr>
                <w:sz w:val="22"/>
                <w:szCs w:val="22"/>
                <w:lang w:val="en-GB"/>
              </w:rPr>
              <w:t>376</w:t>
            </w:r>
          </w:p>
        </w:tc>
        <w:tc>
          <w:tcPr>
            <w:tcW w:w="1477" w:type="dxa"/>
            <w:gridSpan w:val="2"/>
            <w:tcBorders>
              <w:top w:val="nil"/>
              <w:left w:val="nil"/>
              <w:bottom w:val="single" w:sz="8" w:space="0" w:color="auto"/>
              <w:right w:val="nil"/>
            </w:tcBorders>
            <w:shd w:val="clear" w:color="auto" w:fill="auto"/>
            <w:noWrap/>
            <w:vAlign w:val="bottom"/>
          </w:tcPr>
          <w:p w:rsidR="00E60955" w:rsidRPr="00924C77" w:rsidRDefault="00E60955" w:rsidP="00E614D4">
            <w:pPr>
              <w:spacing w:line="480" w:lineRule="auto"/>
              <w:jc w:val="center"/>
              <w:rPr>
                <w:sz w:val="22"/>
                <w:szCs w:val="22"/>
                <w:lang w:val="en-GB"/>
              </w:rPr>
            </w:pPr>
            <w:r>
              <w:rPr>
                <w:sz w:val="22"/>
                <w:szCs w:val="22"/>
                <w:lang w:val="en-GB"/>
              </w:rPr>
              <w:t>(350</w:t>
            </w:r>
            <w:r w:rsidRPr="00924C77">
              <w:rPr>
                <w:sz w:val="22"/>
                <w:szCs w:val="22"/>
                <w:lang w:val="en-GB"/>
              </w:rPr>
              <w:t>–</w:t>
            </w:r>
            <w:r>
              <w:rPr>
                <w:sz w:val="22"/>
                <w:szCs w:val="22"/>
                <w:lang w:val="en-GB"/>
              </w:rPr>
              <w:t>398</w:t>
            </w:r>
            <w:r w:rsidRPr="00924C77">
              <w:rPr>
                <w:sz w:val="22"/>
                <w:szCs w:val="22"/>
                <w:lang w:val="en-GB"/>
              </w:rPr>
              <w:t>)</w:t>
            </w:r>
          </w:p>
        </w:tc>
        <w:tc>
          <w:tcPr>
            <w:tcW w:w="1154" w:type="dxa"/>
            <w:tcBorders>
              <w:top w:val="nil"/>
              <w:left w:val="single" w:sz="8" w:space="0" w:color="auto"/>
              <w:bottom w:val="single" w:sz="8" w:space="0" w:color="auto"/>
              <w:right w:val="nil"/>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11</w:t>
            </w:r>
          </w:p>
        </w:tc>
        <w:tc>
          <w:tcPr>
            <w:tcW w:w="1128" w:type="dxa"/>
            <w:tcBorders>
              <w:top w:val="nil"/>
              <w:left w:val="nil"/>
              <w:bottom w:val="single" w:sz="8" w:space="0" w:color="auto"/>
              <w:right w:val="single" w:sz="8" w:space="0" w:color="auto"/>
            </w:tcBorders>
            <w:shd w:val="clear" w:color="auto" w:fill="auto"/>
            <w:noWrap/>
            <w:vAlign w:val="bottom"/>
          </w:tcPr>
          <w:p w:rsidR="00E60955" w:rsidRPr="00635E7B" w:rsidRDefault="00E60955" w:rsidP="00E614D4">
            <w:pPr>
              <w:spacing w:line="480" w:lineRule="auto"/>
              <w:jc w:val="center"/>
              <w:rPr>
                <w:color w:val="000000"/>
                <w:sz w:val="22"/>
                <w:szCs w:val="22"/>
              </w:rPr>
            </w:pPr>
            <w:r w:rsidRPr="00635E7B">
              <w:rPr>
                <w:color w:val="000000"/>
                <w:sz w:val="22"/>
                <w:szCs w:val="22"/>
              </w:rPr>
              <w:t>18</w:t>
            </w:r>
          </w:p>
        </w:tc>
      </w:tr>
    </w:tbl>
    <w:p w:rsidR="00871AD5" w:rsidRDefault="00871AD5" w:rsidP="004957FD">
      <w:pPr>
        <w:spacing w:line="480" w:lineRule="auto"/>
        <w:jc w:val="both"/>
      </w:pPr>
    </w:p>
    <w:sectPr w:rsidR="00871AD5" w:rsidSect="00A117E5">
      <w:pgSz w:w="16838" w:h="11906" w:orient="landscape"/>
      <w:pgMar w:top="1418" w:right="1418" w:bottom="107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7E5" w:rsidRDefault="00A117E5">
      <w:r>
        <w:separator/>
      </w:r>
    </w:p>
  </w:endnote>
  <w:endnote w:type="continuationSeparator" w:id="0">
    <w:p w:rsidR="00A117E5" w:rsidRDefault="00A11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7E5" w:rsidRDefault="00A117E5" w:rsidP="00A117E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rsidR="00A117E5" w:rsidRDefault="00A117E5" w:rsidP="00A117E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7E5" w:rsidRDefault="00A117E5" w:rsidP="00A117E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0B37">
      <w:rPr>
        <w:rStyle w:val="PageNumber"/>
        <w:noProof/>
      </w:rPr>
      <w:t>35</w:t>
    </w:r>
    <w:r>
      <w:rPr>
        <w:rStyle w:val="PageNumber"/>
      </w:rPr>
      <w:fldChar w:fldCharType="end"/>
    </w:r>
  </w:p>
  <w:p w:rsidR="00A117E5" w:rsidRDefault="00A117E5" w:rsidP="00A117E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7E5" w:rsidRDefault="00A117E5">
      <w:r>
        <w:separator/>
      </w:r>
    </w:p>
  </w:footnote>
  <w:footnote w:type="continuationSeparator" w:id="0">
    <w:p w:rsidR="00A117E5" w:rsidRDefault="00A117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17050"/>
    <w:multiLevelType w:val="hybridMultilevel"/>
    <w:tmpl w:val="0F42D09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8152D34"/>
    <w:multiLevelType w:val="hybridMultilevel"/>
    <w:tmpl w:val="A934C0F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095377C9"/>
    <w:multiLevelType w:val="hybridMultilevel"/>
    <w:tmpl w:val="0C9AC634"/>
    <w:lvl w:ilvl="0" w:tplc="04130017">
      <w:start w:val="1"/>
      <w:numFmt w:val="low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nsid w:val="15482301"/>
    <w:multiLevelType w:val="hybridMultilevel"/>
    <w:tmpl w:val="691AA760"/>
    <w:lvl w:ilvl="0" w:tplc="452E727C">
      <w:start w:val="19"/>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231D5921"/>
    <w:multiLevelType w:val="multilevel"/>
    <w:tmpl w:val="3DCE52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8B85B62"/>
    <w:multiLevelType w:val="hybridMultilevel"/>
    <w:tmpl w:val="A41E8A54"/>
    <w:lvl w:ilvl="0" w:tplc="04130001">
      <w:start w:val="17"/>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nsid w:val="30A84AA8"/>
    <w:multiLevelType w:val="multilevel"/>
    <w:tmpl w:val="C64849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7880ABB"/>
    <w:multiLevelType w:val="hybridMultilevel"/>
    <w:tmpl w:val="FB68875A"/>
    <w:lvl w:ilvl="0" w:tplc="04130011">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8">
    <w:nsid w:val="53D31B04"/>
    <w:multiLevelType w:val="hybridMultilevel"/>
    <w:tmpl w:val="49FCB43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6CF36A00"/>
    <w:multiLevelType w:val="hybridMultilevel"/>
    <w:tmpl w:val="871CAC70"/>
    <w:lvl w:ilvl="0" w:tplc="04130011">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num w:numId="1">
    <w:abstractNumId w:val="8"/>
  </w:num>
  <w:num w:numId="2">
    <w:abstractNumId w:val="2"/>
  </w:num>
  <w:num w:numId="3">
    <w:abstractNumId w:val="3"/>
  </w:num>
  <w:num w:numId="4">
    <w:abstractNumId w:val="4"/>
  </w:num>
  <w:num w:numId="5">
    <w:abstractNumId w:val="6"/>
  </w:num>
  <w:num w:numId="6">
    <w:abstractNumId w:val="9"/>
  </w:num>
  <w:num w:numId="7">
    <w:abstractNumId w:val="7"/>
  </w:num>
  <w:num w:numId="8">
    <w:abstractNumId w:val="5"/>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E60955"/>
    <w:rsid w:val="0001772A"/>
    <w:rsid w:val="00035767"/>
    <w:rsid w:val="00061ACB"/>
    <w:rsid w:val="0006738E"/>
    <w:rsid w:val="00140CE6"/>
    <w:rsid w:val="00184AD8"/>
    <w:rsid w:val="001919F3"/>
    <w:rsid w:val="001E0E3A"/>
    <w:rsid w:val="001F0944"/>
    <w:rsid w:val="00356B11"/>
    <w:rsid w:val="00460B37"/>
    <w:rsid w:val="00480546"/>
    <w:rsid w:val="004957FD"/>
    <w:rsid w:val="00505EA0"/>
    <w:rsid w:val="005144BB"/>
    <w:rsid w:val="00580495"/>
    <w:rsid w:val="006427B4"/>
    <w:rsid w:val="00693F8E"/>
    <w:rsid w:val="006F6AAB"/>
    <w:rsid w:val="00773981"/>
    <w:rsid w:val="00836F91"/>
    <w:rsid w:val="00871AD5"/>
    <w:rsid w:val="00A117E5"/>
    <w:rsid w:val="00AD2950"/>
    <w:rsid w:val="00B2647E"/>
    <w:rsid w:val="00B80844"/>
    <w:rsid w:val="00BD2F47"/>
    <w:rsid w:val="00CB7411"/>
    <w:rsid w:val="00CC3E74"/>
    <w:rsid w:val="00CE4643"/>
    <w:rsid w:val="00D0419D"/>
    <w:rsid w:val="00D2351A"/>
    <w:rsid w:val="00D90C41"/>
    <w:rsid w:val="00DE4E7E"/>
    <w:rsid w:val="00E05652"/>
    <w:rsid w:val="00E3670E"/>
    <w:rsid w:val="00E60955"/>
    <w:rsid w:val="00E614D4"/>
    <w:rsid w:val="00F31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Number" w:uiPriority="0"/>
    <w:lsdException w:name="Title" w:semiHidden="0" w:uiPriority="10" w:unhideWhenUsed="0" w:qFormat="1"/>
    <w:lsdException w:name="Default Paragraph Fo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HTML Cite" w:uiPriority="0"/>
    <w:lsdException w:name="HTML Preformatted"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955"/>
    <w:pPr>
      <w:spacing w:after="0" w:line="240" w:lineRule="auto"/>
    </w:pPr>
    <w:rPr>
      <w:rFonts w:ascii="Times New Roman" w:eastAsia="Times New Roman" w:hAnsi="Times New Roman" w:cs="Times New Roman"/>
      <w:sz w:val="24"/>
      <w:szCs w:val="24"/>
      <w:lang w:val="nl-NL" w:eastAsia="nl-NL"/>
    </w:rPr>
  </w:style>
  <w:style w:type="paragraph" w:styleId="Heading1">
    <w:name w:val="heading 1"/>
    <w:basedOn w:val="Normal"/>
    <w:next w:val="Normal"/>
    <w:link w:val="Heading1Char"/>
    <w:qFormat/>
    <w:rsid w:val="00E60955"/>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60955"/>
    <w:rPr>
      <w:rFonts w:ascii="Cambria" w:eastAsia="Times New Roman" w:hAnsi="Cambria" w:cs="Times New Roman"/>
      <w:b/>
      <w:bCs/>
      <w:kern w:val="32"/>
      <w:sz w:val="32"/>
      <w:szCs w:val="32"/>
      <w:lang w:val="nl-NL" w:eastAsia="nl-NL"/>
    </w:rPr>
  </w:style>
  <w:style w:type="paragraph" w:styleId="Caption">
    <w:name w:val="caption"/>
    <w:basedOn w:val="Normal"/>
    <w:next w:val="Normal"/>
    <w:qFormat/>
    <w:rsid w:val="00E60955"/>
    <w:rPr>
      <w:b/>
      <w:bCs/>
      <w:sz w:val="20"/>
      <w:szCs w:val="20"/>
    </w:rPr>
  </w:style>
  <w:style w:type="paragraph" w:styleId="ListNumber">
    <w:name w:val="List Number"/>
    <w:basedOn w:val="Normal"/>
    <w:rsid w:val="00E60955"/>
    <w:pPr>
      <w:spacing w:after="240"/>
      <w:jc w:val="both"/>
    </w:pPr>
    <w:rPr>
      <w:szCs w:val="20"/>
      <w:lang w:val="en-GB" w:eastAsia="en-US"/>
    </w:rPr>
  </w:style>
  <w:style w:type="paragraph" w:styleId="BodyText2">
    <w:name w:val="Body Text 2"/>
    <w:basedOn w:val="Normal"/>
    <w:link w:val="BodyText2Char"/>
    <w:rsid w:val="00E60955"/>
    <w:pPr>
      <w:spacing w:after="120" w:line="480" w:lineRule="auto"/>
    </w:pPr>
    <w:rPr>
      <w:rFonts w:ascii="Times" w:hAnsi="Times"/>
      <w:szCs w:val="20"/>
      <w:lang w:val="en-GB" w:eastAsia="en-US"/>
    </w:rPr>
  </w:style>
  <w:style w:type="character" w:customStyle="1" w:styleId="BodyText2Char">
    <w:name w:val="Body Text 2 Char"/>
    <w:basedOn w:val="DefaultParagraphFont"/>
    <w:link w:val="BodyText2"/>
    <w:rsid w:val="00E60955"/>
    <w:rPr>
      <w:rFonts w:ascii="Times" w:eastAsia="Times New Roman" w:hAnsi="Times" w:cs="Times New Roman"/>
      <w:sz w:val="24"/>
      <w:szCs w:val="20"/>
      <w:lang w:val="en-GB"/>
    </w:rPr>
  </w:style>
  <w:style w:type="paragraph" w:styleId="Footer">
    <w:name w:val="footer"/>
    <w:basedOn w:val="Normal"/>
    <w:link w:val="FooterChar"/>
    <w:rsid w:val="00E60955"/>
    <w:pPr>
      <w:tabs>
        <w:tab w:val="center" w:pos="4536"/>
        <w:tab w:val="right" w:pos="9072"/>
      </w:tabs>
    </w:pPr>
  </w:style>
  <w:style w:type="character" w:customStyle="1" w:styleId="FooterChar">
    <w:name w:val="Footer Char"/>
    <w:basedOn w:val="DefaultParagraphFont"/>
    <w:link w:val="Footer"/>
    <w:rsid w:val="00E60955"/>
    <w:rPr>
      <w:rFonts w:ascii="Times New Roman" w:eastAsia="Times New Roman" w:hAnsi="Times New Roman" w:cs="Times New Roman"/>
      <w:sz w:val="24"/>
      <w:szCs w:val="24"/>
      <w:lang w:val="nl-NL" w:eastAsia="nl-NL"/>
    </w:rPr>
  </w:style>
  <w:style w:type="character" w:styleId="PageNumber">
    <w:name w:val="page number"/>
    <w:basedOn w:val="DefaultParagraphFont"/>
    <w:rsid w:val="00E60955"/>
  </w:style>
  <w:style w:type="character" w:styleId="HTMLCite">
    <w:name w:val="HTML Cite"/>
    <w:rsid w:val="00E60955"/>
    <w:rPr>
      <w:i/>
      <w:iCs/>
    </w:rPr>
  </w:style>
  <w:style w:type="character" w:customStyle="1" w:styleId="cit-auth2">
    <w:name w:val="cit-auth2"/>
    <w:basedOn w:val="DefaultParagraphFont"/>
    <w:rsid w:val="00E60955"/>
  </w:style>
  <w:style w:type="character" w:customStyle="1" w:styleId="cit-name-surname">
    <w:name w:val="cit-name-surname"/>
    <w:basedOn w:val="DefaultParagraphFont"/>
    <w:rsid w:val="00E60955"/>
  </w:style>
  <w:style w:type="character" w:customStyle="1" w:styleId="cit-name-given-names">
    <w:name w:val="cit-name-given-names"/>
    <w:basedOn w:val="DefaultParagraphFont"/>
    <w:rsid w:val="00E60955"/>
  </w:style>
  <w:style w:type="character" w:customStyle="1" w:styleId="cit-etal">
    <w:name w:val="cit-etal"/>
    <w:basedOn w:val="DefaultParagraphFont"/>
    <w:rsid w:val="00E60955"/>
  </w:style>
  <w:style w:type="character" w:customStyle="1" w:styleId="cit-article-title">
    <w:name w:val="cit-article-title"/>
    <w:basedOn w:val="DefaultParagraphFont"/>
    <w:rsid w:val="00E60955"/>
  </w:style>
  <w:style w:type="character" w:customStyle="1" w:styleId="cit-pub-date">
    <w:name w:val="cit-pub-date"/>
    <w:basedOn w:val="DefaultParagraphFont"/>
    <w:rsid w:val="00E60955"/>
  </w:style>
  <w:style w:type="character" w:customStyle="1" w:styleId="cit-vol4">
    <w:name w:val="cit-vol4"/>
    <w:basedOn w:val="DefaultParagraphFont"/>
    <w:rsid w:val="00E60955"/>
  </w:style>
  <w:style w:type="character" w:customStyle="1" w:styleId="cit-fpage">
    <w:name w:val="cit-fpage"/>
    <w:basedOn w:val="DefaultParagraphFont"/>
    <w:rsid w:val="00E60955"/>
  </w:style>
  <w:style w:type="character" w:customStyle="1" w:styleId="cit-lpage">
    <w:name w:val="cit-lpage"/>
    <w:basedOn w:val="DefaultParagraphFont"/>
    <w:rsid w:val="00E60955"/>
  </w:style>
  <w:style w:type="paragraph" w:styleId="HTMLPreformatted">
    <w:name w:val="HTML Preformatted"/>
    <w:basedOn w:val="Normal"/>
    <w:link w:val="HTMLPreformattedChar"/>
    <w:rsid w:val="00E60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E60955"/>
    <w:rPr>
      <w:rFonts w:ascii="Courier New" w:eastAsia="Times New Roman" w:hAnsi="Courier New" w:cs="Courier New"/>
      <w:sz w:val="20"/>
      <w:szCs w:val="20"/>
      <w:lang w:val="nl-NL" w:eastAsia="nl-NL"/>
    </w:rPr>
  </w:style>
  <w:style w:type="character" w:styleId="CommentReference">
    <w:name w:val="annotation reference"/>
    <w:rsid w:val="00E60955"/>
    <w:rPr>
      <w:sz w:val="16"/>
      <w:szCs w:val="16"/>
    </w:rPr>
  </w:style>
  <w:style w:type="paragraph" w:styleId="CommentText">
    <w:name w:val="annotation text"/>
    <w:basedOn w:val="Normal"/>
    <w:link w:val="CommentTextChar"/>
    <w:rsid w:val="00E60955"/>
    <w:rPr>
      <w:sz w:val="20"/>
      <w:szCs w:val="20"/>
    </w:rPr>
  </w:style>
  <w:style w:type="character" w:customStyle="1" w:styleId="CommentTextChar">
    <w:name w:val="Comment Text Char"/>
    <w:link w:val="CommentText"/>
    <w:rsid w:val="00E60955"/>
    <w:rPr>
      <w:rFonts w:ascii="Times New Roman" w:eastAsia="Times New Roman" w:hAnsi="Times New Roman" w:cs="Times New Roman"/>
      <w:sz w:val="20"/>
      <w:szCs w:val="20"/>
      <w:lang w:val="nl-NL" w:eastAsia="nl-NL"/>
    </w:rPr>
  </w:style>
  <w:style w:type="paragraph" w:styleId="CommentSubject">
    <w:name w:val="annotation subject"/>
    <w:basedOn w:val="CommentText"/>
    <w:next w:val="CommentText"/>
    <w:link w:val="CommentSubjectChar"/>
    <w:rsid w:val="00E60955"/>
    <w:rPr>
      <w:b/>
      <w:bCs/>
    </w:rPr>
  </w:style>
  <w:style w:type="character" w:customStyle="1" w:styleId="CommentSubjectChar">
    <w:name w:val="Comment Subject Char"/>
    <w:link w:val="CommentSubject"/>
    <w:rsid w:val="00E60955"/>
    <w:rPr>
      <w:rFonts w:ascii="Times New Roman" w:eastAsia="Times New Roman" w:hAnsi="Times New Roman" w:cs="Times New Roman"/>
      <w:b/>
      <w:bCs/>
      <w:sz w:val="20"/>
      <w:szCs w:val="20"/>
      <w:lang w:val="nl-NL" w:eastAsia="nl-NL"/>
    </w:rPr>
  </w:style>
  <w:style w:type="paragraph" w:styleId="Header">
    <w:name w:val="header"/>
    <w:basedOn w:val="Normal"/>
    <w:link w:val="HeaderChar"/>
    <w:rsid w:val="00E60955"/>
    <w:pPr>
      <w:tabs>
        <w:tab w:val="center" w:pos="4536"/>
        <w:tab w:val="right" w:pos="9072"/>
      </w:tabs>
    </w:pPr>
  </w:style>
  <w:style w:type="character" w:customStyle="1" w:styleId="HeaderChar">
    <w:name w:val="Header Char"/>
    <w:link w:val="Header"/>
    <w:rsid w:val="00E60955"/>
    <w:rPr>
      <w:rFonts w:ascii="Times New Roman" w:eastAsia="Times New Roman" w:hAnsi="Times New Roman" w:cs="Times New Roman"/>
      <w:sz w:val="24"/>
      <w:szCs w:val="24"/>
      <w:lang w:val="nl-NL" w:eastAsia="nl-NL"/>
    </w:rPr>
  </w:style>
  <w:style w:type="character" w:styleId="Hyperlink">
    <w:name w:val="Hyperlink"/>
    <w:rsid w:val="00E60955"/>
    <w:rPr>
      <w:color w:val="0000FF"/>
      <w:u w:val="single"/>
    </w:rPr>
  </w:style>
  <w:style w:type="paragraph" w:customStyle="1" w:styleId="Default">
    <w:name w:val="Default"/>
    <w:rsid w:val="00E60955"/>
    <w:pPr>
      <w:autoSpaceDE w:val="0"/>
      <w:autoSpaceDN w:val="0"/>
      <w:adjustRightInd w:val="0"/>
      <w:spacing w:after="0" w:line="240" w:lineRule="auto"/>
    </w:pPr>
    <w:rPr>
      <w:rFonts w:ascii="Times New Roman" w:eastAsia="Times New Roman" w:hAnsi="Times New Roman" w:cs="Times New Roman"/>
      <w:color w:val="000000"/>
      <w:sz w:val="24"/>
      <w:szCs w:val="24"/>
      <w:lang w:val="nl-NL" w:eastAsia="nl-NL"/>
    </w:rPr>
  </w:style>
  <w:style w:type="paragraph" w:customStyle="1" w:styleId="bodytext">
    <w:name w:val="bodytext"/>
    <w:basedOn w:val="Normal"/>
    <w:rsid w:val="00E60955"/>
    <w:pPr>
      <w:spacing w:after="300" w:line="300" w:lineRule="atLeast"/>
    </w:pPr>
    <w:rPr>
      <w:sz w:val="21"/>
      <w:szCs w:val="21"/>
    </w:rPr>
  </w:style>
  <w:style w:type="paragraph" w:styleId="BalloonText">
    <w:name w:val="Balloon Text"/>
    <w:basedOn w:val="Normal"/>
    <w:link w:val="BalloonTextChar"/>
    <w:semiHidden/>
    <w:rsid w:val="00E60955"/>
    <w:rPr>
      <w:rFonts w:ascii="Tahoma" w:hAnsi="Tahoma" w:cs="Tahoma"/>
      <w:sz w:val="16"/>
      <w:szCs w:val="16"/>
    </w:rPr>
  </w:style>
  <w:style w:type="character" w:customStyle="1" w:styleId="BalloonTextChar">
    <w:name w:val="Balloon Text Char"/>
    <w:basedOn w:val="DefaultParagraphFont"/>
    <w:link w:val="BalloonText"/>
    <w:semiHidden/>
    <w:rsid w:val="00E60955"/>
    <w:rPr>
      <w:rFonts w:ascii="Tahoma" w:eastAsia="Times New Roman" w:hAnsi="Tahoma" w:cs="Tahoma"/>
      <w:sz w:val="16"/>
      <w:szCs w:val="16"/>
      <w:lang w:val="nl-NL" w:eastAsia="nl-NL"/>
    </w:rPr>
  </w:style>
  <w:style w:type="character" w:styleId="Emphasis">
    <w:name w:val="Emphasis"/>
    <w:uiPriority w:val="20"/>
    <w:qFormat/>
    <w:rsid w:val="00E60955"/>
    <w:rPr>
      <w:b/>
      <w:bCs/>
      <w:i w:val="0"/>
      <w:iCs w:val="0"/>
    </w:rPr>
  </w:style>
  <w:style w:type="paragraph" w:styleId="NoSpacing">
    <w:name w:val="No Spacing"/>
    <w:link w:val="NoSpacingChar"/>
    <w:uiPriority w:val="1"/>
    <w:qFormat/>
    <w:rsid w:val="00E60955"/>
    <w:pPr>
      <w:spacing w:after="0" w:line="240" w:lineRule="auto"/>
    </w:pPr>
    <w:rPr>
      <w:rFonts w:ascii="Calibri" w:eastAsia="Times New Roman" w:hAnsi="Calibri" w:cs="Times New Roman"/>
      <w:lang w:val="nl-NL" w:eastAsia="nl-NL"/>
    </w:rPr>
  </w:style>
  <w:style w:type="character" w:customStyle="1" w:styleId="NoSpacingChar">
    <w:name w:val="No Spacing Char"/>
    <w:link w:val="NoSpacing"/>
    <w:uiPriority w:val="1"/>
    <w:rsid w:val="00E60955"/>
    <w:rPr>
      <w:rFonts w:ascii="Calibri" w:eastAsia="Times New Roman" w:hAnsi="Calibri" w:cs="Times New Roman"/>
      <w:lang w:val="nl-NL" w:eastAsia="nl-NL"/>
    </w:rPr>
  </w:style>
  <w:style w:type="character" w:styleId="FollowedHyperlink">
    <w:name w:val="FollowedHyperlink"/>
    <w:basedOn w:val="DefaultParagraphFont"/>
    <w:uiPriority w:val="99"/>
    <w:semiHidden/>
    <w:unhideWhenUsed/>
    <w:rsid w:val="00356B1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Number" w:uiPriority="0"/>
    <w:lsdException w:name="Title" w:semiHidden="0" w:uiPriority="10" w:unhideWhenUsed="0" w:qFormat="1"/>
    <w:lsdException w:name="Default Paragraph Fo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HTML Cite" w:uiPriority="0"/>
    <w:lsdException w:name="HTML Preformatted"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955"/>
    <w:pPr>
      <w:spacing w:after="0" w:line="240" w:lineRule="auto"/>
    </w:pPr>
    <w:rPr>
      <w:rFonts w:ascii="Times New Roman" w:eastAsia="Times New Roman" w:hAnsi="Times New Roman" w:cs="Times New Roman"/>
      <w:sz w:val="24"/>
      <w:szCs w:val="24"/>
      <w:lang w:val="nl-NL" w:eastAsia="nl-NL"/>
    </w:rPr>
  </w:style>
  <w:style w:type="paragraph" w:styleId="Heading1">
    <w:name w:val="heading 1"/>
    <w:basedOn w:val="Normal"/>
    <w:next w:val="Normal"/>
    <w:link w:val="Heading1Char"/>
    <w:qFormat/>
    <w:rsid w:val="00E60955"/>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60955"/>
    <w:rPr>
      <w:rFonts w:ascii="Cambria" w:eastAsia="Times New Roman" w:hAnsi="Cambria" w:cs="Times New Roman"/>
      <w:b/>
      <w:bCs/>
      <w:kern w:val="32"/>
      <w:sz w:val="32"/>
      <w:szCs w:val="32"/>
      <w:lang w:val="nl-NL" w:eastAsia="nl-NL"/>
    </w:rPr>
  </w:style>
  <w:style w:type="paragraph" w:styleId="Caption">
    <w:name w:val="caption"/>
    <w:basedOn w:val="Normal"/>
    <w:next w:val="Normal"/>
    <w:qFormat/>
    <w:rsid w:val="00E60955"/>
    <w:rPr>
      <w:b/>
      <w:bCs/>
      <w:sz w:val="20"/>
      <w:szCs w:val="20"/>
    </w:rPr>
  </w:style>
  <w:style w:type="paragraph" w:styleId="ListNumber">
    <w:name w:val="List Number"/>
    <w:basedOn w:val="Normal"/>
    <w:rsid w:val="00E60955"/>
    <w:pPr>
      <w:spacing w:after="240"/>
      <w:jc w:val="both"/>
    </w:pPr>
    <w:rPr>
      <w:szCs w:val="20"/>
      <w:lang w:val="en-GB" w:eastAsia="en-US"/>
    </w:rPr>
  </w:style>
  <w:style w:type="paragraph" w:styleId="BodyText2">
    <w:name w:val="Body Text 2"/>
    <w:basedOn w:val="Normal"/>
    <w:link w:val="BodyText2Char"/>
    <w:rsid w:val="00E60955"/>
    <w:pPr>
      <w:spacing w:after="120" w:line="480" w:lineRule="auto"/>
    </w:pPr>
    <w:rPr>
      <w:rFonts w:ascii="Times" w:hAnsi="Times"/>
      <w:szCs w:val="20"/>
      <w:lang w:val="en-GB" w:eastAsia="en-US"/>
    </w:rPr>
  </w:style>
  <w:style w:type="character" w:customStyle="1" w:styleId="BodyText2Char">
    <w:name w:val="Body Text 2 Char"/>
    <w:basedOn w:val="DefaultParagraphFont"/>
    <w:link w:val="BodyText2"/>
    <w:rsid w:val="00E60955"/>
    <w:rPr>
      <w:rFonts w:ascii="Times" w:eastAsia="Times New Roman" w:hAnsi="Times" w:cs="Times New Roman"/>
      <w:sz w:val="24"/>
      <w:szCs w:val="20"/>
      <w:lang w:val="en-GB"/>
    </w:rPr>
  </w:style>
  <w:style w:type="paragraph" w:styleId="Footer">
    <w:name w:val="footer"/>
    <w:basedOn w:val="Normal"/>
    <w:link w:val="FooterChar"/>
    <w:rsid w:val="00E60955"/>
    <w:pPr>
      <w:tabs>
        <w:tab w:val="center" w:pos="4536"/>
        <w:tab w:val="right" w:pos="9072"/>
      </w:tabs>
    </w:pPr>
  </w:style>
  <w:style w:type="character" w:customStyle="1" w:styleId="FooterChar">
    <w:name w:val="Footer Char"/>
    <w:basedOn w:val="DefaultParagraphFont"/>
    <w:link w:val="Footer"/>
    <w:rsid w:val="00E60955"/>
    <w:rPr>
      <w:rFonts w:ascii="Times New Roman" w:eastAsia="Times New Roman" w:hAnsi="Times New Roman" w:cs="Times New Roman"/>
      <w:sz w:val="24"/>
      <w:szCs w:val="24"/>
      <w:lang w:val="nl-NL" w:eastAsia="nl-NL"/>
    </w:rPr>
  </w:style>
  <w:style w:type="character" w:styleId="PageNumber">
    <w:name w:val="page number"/>
    <w:basedOn w:val="DefaultParagraphFont"/>
    <w:rsid w:val="00E60955"/>
  </w:style>
  <w:style w:type="character" w:styleId="HTMLCite">
    <w:name w:val="HTML Cite"/>
    <w:rsid w:val="00E60955"/>
    <w:rPr>
      <w:i/>
      <w:iCs/>
    </w:rPr>
  </w:style>
  <w:style w:type="character" w:customStyle="1" w:styleId="cit-auth2">
    <w:name w:val="cit-auth2"/>
    <w:basedOn w:val="DefaultParagraphFont"/>
    <w:rsid w:val="00E60955"/>
  </w:style>
  <w:style w:type="character" w:customStyle="1" w:styleId="cit-name-surname">
    <w:name w:val="cit-name-surname"/>
    <w:basedOn w:val="DefaultParagraphFont"/>
    <w:rsid w:val="00E60955"/>
  </w:style>
  <w:style w:type="character" w:customStyle="1" w:styleId="cit-name-given-names">
    <w:name w:val="cit-name-given-names"/>
    <w:basedOn w:val="DefaultParagraphFont"/>
    <w:rsid w:val="00E60955"/>
  </w:style>
  <w:style w:type="character" w:customStyle="1" w:styleId="cit-etal">
    <w:name w:val="cit-etal"/>
    <w:basedOn w:val="DefaultParagraphFont"/>
    <w:rsid w:val="00E60955"/>
  </w:style>
  <w:style w:type="character" w:customStyle="1" w:styleId="cit-article-title">
    <w:name w:val="cit-article-title"/>
    <w:basedOn w:val="DefaultParagraphFont"/>
    <w:rsid w:val="00E60955"/>
  </w:style>
  <w:style w:type="character" w:customStyle="1" w:styleId="cit-pub-date">
    <w:name w:val="cit-pub-date"/>
    <w:basedOn w:val="DefaultParagraphFont"/>
    <w:rsid w:val="00E60955"/>
  </w:style>
  <w:style w:type="character" w:customStyle="1" w:styleId="cit-vol4">
    <w:name w:val="cit-vol4"/>
    <w:basedOn w:val="DefaultParagraphFont"/>
    <w:rsid w:val="00E60955"/>
  </w:style>
  <w:style w:type="character" w:customStyle="1" w:styleId="cit-fpage">
    <w:name w:val="cit-fpage"/>
    <w:basedOn w:val="DefaultParagraphFont"/>
    <w:rsid w:val="00E60955"/>
  </w:style>
  <w:style w:type="character" w:customStyle="1" w:styleId="cit-lpage">
    <w:name w:val="cit-lpage"/>
    <w:basedOn w:val="DefaultParagraphFont"/>
    <w:rsid w:val="00E60955"/>
  </w:style>
  <w:style w:type="paragraph" w:styleId="HTMLPreformatted">
    <w:name w:val="HTML Preformatted"/>
    <w:basedOn w:val="Normal"/>
    <w:link w:val="HTMLPreformattedChar"/>
    <w:rsid w:val="00E60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E60955"/>
    <w:rPr>
      <w:rFonts w:ascii="Courier New" w:eastAsia="Times New Roman" w:hAnsi="Courier New" w:cs="Courier New"/>
      <w:sz w:val="20"/>
      <w:szCs w:val="20"/>
      <w:lang w:val="nl-NL" w:eastAsia="nl-NL"/>
    </w:rPr>
  </w:style>
  <w:style w:type="character" w:styleId="CommentReference">
    <w:name w:val="annotation reference"/>
    <w:rsid w:val="00E60955"/>
    <w:rPr>
      <w:sz w:val="16"/>
      <w:szCs w:val="16"/>
    </w:rPr>
  </w:style>
  <w:style w:type="paragraph" w:styleId="CommentText">
    <w:name w:val="annotation text"/>
    <w:basedOn w:val="Normal"/>
    <w:link w:val="CommentTextChar"/>
    <w:rsid w:val="00E60955"/>
    <w:rPr>
      <w:sz w:val="20"/>
      <w:szCs w:val="20"/>
    </w:rPr>
  </w:style>
  <w:style w:type="character" w:customStyle="1" w:styleId="CommentTextChar">
    <w:name w:val="Comment Text Char"/>
    <w:link w:val="CommentText"/>
    <w:rsid w:val="00E60955"/>
    <w:rPr>
      <w:rFonts w:ascii="Times New Roman" w:eastAsia="Times New Roman" w:hAnsi="Times New Roman" w:cs="Times New Roman"/>
      <w:sz w:val="20"/>
      <w:szCs w:val="20"/>
      <w:lang w:val="nl-NL" w:eastAsia="nl-NL"/>
    </w:rPr>
  </w:style>
  <w:style w:type="paragraph" w:styleId="CommentSubject">
    <w:name w:val="annotation subject"/>
    <w:basedOn w:val="CommentText"/>
    <w:next w:val="CommentText"/>
    <w:link w:val="CommentSubjectChar"/>
    <w:rsid w:val="00E60955"/>
    <w:rPr>
      <w:b/>
      <w:bCs/>
    </w:rPr>
  </w:style>
  <w:style w:type="character" w:customStyle="1" w:styleId="CommentSubjectChar">
    <w:name w:val="Comment Subject Char"/>
    <w:link w:val="CommentSubject"/>
    <w:rsid w:val="00E60955"/>
    <w:rPr>
      <w:rFonts w:ascii="Times New Roman" w:eastAsia="Times New Roman" w:hAnsi="Times New Roman" w:cs="Times New Roman"/>
      <w:b/>
      <w:bCs/>
      <w:sz w:val="20"/>
      <w:szCs w:val="20"/>
      <w:lang w:val="nl-NL" w:eastAsia="nl-NL"/>
    </w:rPr>
  </w:style>
  <w:style w:type="paragraph" w:styleId="Header">
    <w:name w:val="header"/>
    <w:basedOn w:val="Normal"/>
    <w:link w:val="HeaderChar"/>
    <w:rsid w:val="00E60955"/>
    <w:pPr>
      <w:tabs>
        <w:tab w:val="center" w:pos="4536"/>
        <w:tab w:val="right" w:pos="9072"/>
      </w:tabs>
    </w:pPr>
  </w:style>
  <w:style w:type="character" w:customStyle="1" w:styleId="HeaderChar">
    <w:name w:val="Header Char"/>
    <w:link w:val="Header"/>
    <w:rsid w:val="00E60955"/>
    <w:rPr>
      <w:rFonts w:ascii="Times New Roman" w:eastAsia="Times New Roman" w:hAnsi="Times New Roman" w:cs="Times New Roman"/>
      <w:sz w:val="24"/>
      <w:szCs w:val="24"/>
      <w:lang w:val="nl-NL" w:eastAsia="nl-NL"/>
    </w:rPr>
  </w:style>
  <w:style w:type="character" w:styleId="Hyperlink">
    <w:name w:val="Hyperlink"/>
    <w:rsid w:val="00E60955"/>
    <w:rPr>
      <w:color w:val="0000FF"/>
      <w:u w:val="single"/>
    </w:rPr>
  </w:style>
  <w:style w:type="paragraph" w:customStyle="1" w:styleId="Default">
    <w:name w:val="Default"/>
    <w:rsid w:val="00E60955"/>
    <w:pPr>
      <w:autoSpaceDE w:val="0"/>
      <w:autoSpaceDN w:val="0"/>
      <w:adjustRightInd w:val="0"/>
      <w:spacing w:after="0" w:line="240" w:lineRule="auto"/>
    </w:pPr>
    <w:rPr>
      <w:rFonts w:ascii="Times New Roman" w:eastAsia="Times New Roman" w:hAnsi="Times New Roman" w:cs="Times New Roman"/>
      <w:color w:val="000000"/>
      <w:sz w:val="24"/>
      <w:szCs w:val="24"/>
      <w:lang w:val="nl-NL" w:eastAsia="nl-NL"/>
    </w:rPr>
  </w:style>
  <w:style w:type="paragraph" w:customStyle="1" w:styleId="bodytext">
    <w:name w:val="bodytext"/>
    <w:basedOn w:val="Normal"/>
    <w:rsid w:val="00E60955"/>
    <w:pPr>
      <w:spacing w:after="300" w:line="300" w:lineRule="atLeast"/>
    </w:pPr>
    <w:rPr>
      <w:sz w:val="21"/>
      <w:szCs w:val="21"/>
    </w:rPr>
  </w:style>
  <w:style w:type="paragraph" w:styleId="BalloonText">
    <w:name w:val="Balloon Text"/>
    <w:basedOn w:val="Normal"/>
    <w:link w:val="BalloonTextChar"/>
    <w:semiHidden/>
    <w:rsid w:val="00E60955"/>
    <w:rPr>
      <w:rFonts w:ascii="Tahoma" w:hAnsi="Tahoma" w:cs="Tahoma"/>
      <w:sz w:val="16"/>
      <w:szCs w:val="16"/>
    </w:rPr>
  </w:style>
  <w:style w:type="character" w:customStyle="1" w:styleId="BalloonTextChar">
    <w:name w:val="Balloon Text Char"/>
    <w:basedOn w:val="DefaultParagraphFont"/>
    <w:link w:val="BalloonText"/>
    <w:semiHidden/>
    <w:rsid w:val="00E60955"/>
    <w:rPr>
      <w:rFonts w:ascii="Tahoma" w:eastAsia="Times New Roman" w:hAnsi="Tahoma" w:cs="Tahoma"/>
      <w:sz w:val="16"/>
      <w:szCs w:val="16"/>
      <w:lang w:val="nl-NL" w:eastAsia="nl-NL"/>
    </w:rPr>
  </w:style>
  <w:style w:type="character" w:styleId="Emphasis">
    <w:name w:val="Emphasis"/>
    <w:uiPriority w:val="20"/>
    <w:qFormat/>
    <w:rsid w:val="00E60955"/>
    <w:rPr>
      <w:b/>
      <w:bCs/>
      <w:i w:val="0"/>
      <w:iCs w:val="0"/>
    </w:rPr>
  </w:style>
  <w:style w:type="paragraph" w:styleId="NoSpacing">
    <w:name w:val="No Spacing"/>
    <w:link w:val="NoSpacingChar"/>
    <w:uiPriority w:val="1"/>
    <w:qFormat/>
    <w:rsid w:val="00E60955"/>
    <w:pPr>
      <w:spacing w:after="0" w:line="240" w:lineRule="auto"/>
    </w:pPr>
    <w:rPr>
      <w:rFonts w:ascii="Calibri" w:eastAsia="Times New Roman" w:hAnsi="Calibri" w:cs="Times New Roman"/>
      <w:lang w:val="nl-NL" w:eastAsia="nl-NL"/>
    </w:rPr>
  </w:style>
  <w:style w:type="character" w:customStyle="1" w:styleId="NoSpacingChar">
    <w:name w:val="No Spacing Char"/>
    <w:link w:val="NoSpacing"/>
    <w:uiPriority w:val="1"/>
    <w:rsid w:val="00E60955"/>
    <w:rPr>
      <w:rFonts w:ascii="Calibri" w:eastAsia="Times New Roman" w:hAnsi="Calibri" w:cs="Times New Roman"/>
      <w:lang w:val="nl-NL" w:eastAsia="nl-NL"/>
    </w:rPr>
  </w:style>
  <w:style w:type="character" w:styleId="FollowedHyperlink">
    <w:name w:val="FollowedHyperlink"/>
    <w:basedOn w:val="DefaultParagraphFont"/>
    <w:uiPriority w:val="99"/>
    <w:semiHidden/>
    <w:unhideWhenUsed/>
    <w:rsid w:val="00356B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kulhanova@erasmusmc.nl" TargetMode="External"/><Relationship Id="rId13" Type="http://schemas.openxmlformats.org/officeDocument/2006/relationships/hyperlink" Target="http://appsso.eurostat.ec.europa.eu/nui/show.do?dataset=edat_lfse_07&amp;lang=e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uro-gbd-se.eu/fileadmin/euro-gbd-se/public-files/Working%20document%20on%20the%20correction%20facto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8157</Words>
  <Characters>46500</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54548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 Kulhanova</dc:creator>
  <cp:lastModifiedBy>I. Kulhanova</cp:lastModifiedBy>
  <cp:revision>2</cp:revision>
  <dcterms:created xsi:type="dcterms:W3CDTF">2014-10-01T10:59:00Z</dcterms:created>
  <dcterms:modified xsi:type="dcterms:W3CDTF">2014-10-01T10:59:00Z</dcterms:modified>
</cp:coreProperties>
</file>