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FC1" w:rsidRPr="00E5299D" w:rsidRDefault="00CB2FC1" w:rsidP="00CB2FC1">
      <w:pPr>
        <w:spacing w:line="360" w:lineRule="auto"/>
        <w:rPr>
          <w:b/>
          <w:sz w:val="22"/>
          <w:szCs w:val="22"/>
          <w:lang w:val="en-GB"/>
        </w:rPr>
      </w:pPr>
      <w:r w:rsidRPr="00E5299D">
        <w:rPr>
          <w:b/>
          <w:sz w:val="22"/>
          <w:szCs w:val="22"/>
          <w:lang w:val="en-GB"/>
        </w:rPr>
        <w:t>Educational inequalities in mortality by cause of death: first national data for the Netherlands</w:t>
      </w:r>
    </w:p>
    <w:p w:rsidR="00CB2FC1" w:rsidRPr="00E5299D" w:rsidRDefault="00CB2FC1" w:rsidP="00CB2FC1">
      <w:pPr>
        <w:spacing w:line="360" w:lineRule="auto"/>
        <w:jc w:val="center"/>
        <w:rPr>
          <w:b/>
          <w:sz w:val="22"/>
          <w:szCs w:val="22"/>
          <w:lang w:val="en-GB"/>
        </w:rPr>
      </w:pPr>
    </w:p>
    <w:p w:rsidR="00CB2FC1" w:rsidRPr="00E5299D" w:rsidRDefault="00CB2FC1" w:rsidP="00CB2FC1">
      <w:pPr>
        <w:spacing w:line="360" w:lineRule="auto"/>
        <w:rPr>
          <w:sz w:val="22"/>
          <w:szCs w:val="22"/>
          <w:lang w:val="en-GB"/>
        </w:rPr>
      </w:pPr>
      <w:r w:rsidRPr="00E5299D">
        <w:rPr>
          <w:sz w:val="22"/>
          <w:szCs w:val="22"/>
          <w:lang w:val="en-GB"/>
        </w:rPr>
        <w:t>Ivana Kulhánová</w:t>
      </w:r>
      <w:r w:rsidRPr="0032424D">
        <w:rPr>
          <w:sz w:val="22"/>
          <w:szCs w:val="22"/>
          <w:vertAlign w:val="superscript"/>
          <w:lang w:val="en-GB"/>
        </w:rPr>
        <w:t>*,</w:t>
      </w:r>
      <w:r w:rsidRPr="00E5299D">
        <w:rPr>
          <w:sz w:val="22"/>
          <w:szCs w:val="22"/>
          <w:vertAlign w:val="superscript"/>
          <w:lang w:val="en-GB"/>
        </w:rPr>
        <w:t>1</w:t>
      </w:r>
      <w:r w:rsidRPr="00E5299D">
        <w:rPr>
          <w:sz w:val="22"/>
          <w:szCs w:val="22"/>
          <w:lang w:val="en-GB"/>
        </w:rPr>
        <w:t xml:space="preserve">, </w:t>
      </w:r>
      <w:proofErr w:type="spellStart"/>
      <w:r w:rsidRPr="00E5299D">
        <w:rPr>
          <w:sz w:val="22"/>
          <w:szCs w:val="22"/>
          <w:lang w:val="en-GB"/>
        </w:rPr>
        <w:t>Rasmus</w:t>
      </w:r>
      <w:proofErr w:type="spellEnd"/>
      <w:r w:rsidRPr="00E5299D">
        <w:rPr>
          <w:sz w:val="22"/>
          <w:szCs w:val="22"/>
          <w:lang w:val="en-GB"/>
        </w:rPr>
        <w:t xml:space="preserve"> Hoffmann</w:t>
      </w:r>
      <w:r w:rsidRPr="00E5299D">
        <w:rPr>
          <w:sz w:val="22"/>
          <w:szCs w:val="22"/>
          <w:vertAlign w:val="superscript"/>
          <w:lang w:val="en-GB"/>
        </w:rPr>
        <w:t>1</w:t>
      </w:r>
      <w:r w:rsidRPr="00E5299D">
        <w:rPr>
          <w:sz w:val="22"/>
          <w:szCs w:val="22"/>
          <w:lang w:val="en-GB"/>
        </w:rPr>
        <w:t xml:space="preserve">, </w:t>
      </w:r>
      <w:proofErr w:type="spellStart"/>
      <w:r w:rsidRPr="00E5299D">
        <w:rPr>
          <w:sz w:val="22"/>
          <w:szCs w:val="22"/>
          <w:lang w:val="en-GB"/>
        </w:rPr>
        <w:t>Terje</w:t>
      </w:r>
      <w:proofErr w:type="spellEnd"/>
      <w:r w:rsidRPr="00E5299D">
        <w:rPr>
          <w:sz w:val="22"/>
          <w:szCs w:val="22"/>
          <w:lang w:val="en-GB"/>
        </w:rPr>
        <w:t xml:space="preserve"> A. Eikemo</w:t>
      </w:r>
      <w:r w:rsidRPr="00E5299D">
        <w:rPr>
          <w:sz w:val="22"/>
          <w:szCs w:val="22"/>
          <w:vertAlign w:val="superscript"/>
          <w:lang w:val="en-GB"/>
        </w:rPr>
        <w:t>1,2</w:t>
      </w:r>
      <w:r w:rsidRPr="00E5299D">
        <w:rPr>
          <w:sz w:val="22"/>
          <w:szCs w:val="22"/>
          <w:lang w:val="en-GB"/>
        </w:rPr>
        <w:t>, Gwenn Menvielle</w:t>
      </w:r>
      <w:r w:rsidRPr="00E5299D">
        <w:rPr>
          <w:sz w:val="22"/>
          <w:szCs w:val="22"/>
          <w:vertAlign w:val="superscript"/>
          <w:lang w:val="en-GB"/>
        </w:rPr>
        <w:t>3,4</w:t>
      </w:r>
      <w:r w:rsidRPr="00E5299D">
        <w:rPr>
          <w:sz w:val="22"/>
          <w:szCs w:val="22"/>
          <w:lang w:val="en-GB"/>
        </w:rPr>
        <w:t>, Johan P. Mackenbach</w:t>
      </w:r>
      <w:r w:rsidRPr="00E5299D">
        <w:rPr>
          <w:sz w:val="22"/>
          <w:szCs w:val="22"/>
          <w:vertAlign w:val="superscript"/>
          <w:lang w:val="en-GB"/>
        </w:rPr>
        <w:t>1</w:t>
      </w:r>
    </w:p>
    <w:p w:rsidR="00CB2FC1" w:rsidRPr="00E5299D" w:rsidRDefault="00CB2FC1" w:rsidP="00CB2FC1">
      <w:pPr>
        <w:spacing w:line="360" w:lineRule="auto"/>
        <w:rPr>
          <w:sz w:val="22"/>
          <w:szCs w:val="22"/>
          <w:lang w:val="en-GB"/>
        </w:rPr>
      </w:pPr>
    </w:p>
    <w:p w:rsidR="00CB2FC1" w:rsidRPr="00E5299D" w:rsidRDefault="00CB2FC1" w:rsidP="00CB2FC1">
      <w:pPr>
        <w:spacing w:line="360" w:lineRule="auto"/>
        <w:jc w:val="both"/>
        <w:rPr>
          <w:sz w:val="22"/>
          <w:szCs w:val="22"/>
          <w:lang w:val="en-GB"/>
        </w:rPr>
      </w:pPr>
      <w:r w:rsidRPr="00E5299D">
        <w:rPr>
          <w:sz w:val="22"/>
          <w:szCs w:val="22"/>
          <w:lang w:val="en-GB"/>
        </w:rPr>
        <w:t xml:space="preserve">1 Department of Public Health, Erasmus Medical </w:t>
      </w:r>
      <w:proofErr w:type="spellStart"/>
      <w:r w:rsidRPr="00E5299D">
        <w:rPr>
          <w:sz w:val="22"/>
          <w:szCs w:val="22"/>
          <w:lang w:val="en-GB"/>
        </w:rPr>
        <w:t>Center</w:t>
      </w:r>
      <w:proofErr w:type="spellEnd"/>
      <w:r w:rsidRPr="00E5299D">
        <w:rPr>
          <w:sz w:val="22"/>
          <w:szCs w:val="22"/>
          <w:lang w:val="en-GB"/>
        </w:rPr>
        <w:t xml:space="preserve">, Rotterdam, </w:t>
      </w:r>
      <w:r>
        <w:rPr>
          <w:sz w:val="22"/>
          <w:szCs w:val="22"/>
          <w:lang w:val="en-GB"/>
        </w:rPr>
        <w:t xml:space="preserve">The </w:t>
      </w:r>
      <w:r w:rsidRPr="00E5299D">
        <w:rPr>
          <w:sz w:val="22"/>
          <w:szCs w:val="22"/>
          <w:lang w:val="en-GB"/>
        </w:rPr>
        <w:t>Netherlands</w:t>
      </w:r>
    </w:p>
    <w:p w:rsidR="00CB2FC1" w:rsidRPr="00E5299D" w:rsidRDefault="00CB2FC1" w:rsidP="00CB2FC1">
      <w:pPr>
        <w:spacing w:line="360" w:lineRule="auto"/>
        <w:jc w:val="both"/>
        <w:rPr>
          <w:sz w:val="22"/>
          <w:szCs w:val="22"/>
          <w:lang w:val="en-GB"/>
        </w:rPr>
      </w:pPr>
      <w:r w:rsidRPr="00E5299D">
        <w:rPr>
          <w:sz w:val="22"/>
          <w:szCs w:val="22"/>
          <w:lang w:val="en-GB"/>
        </w:rPr>
        <w:t>2 Department of Sociology and Political Science, Norwegian University of Science and Technology, Trondheim, Norway</w:t>
      </w:r>
    </w:p>
    <w:p w:rsidR="00CB2FC1" w:rsidRPr="00E5299D" w:rsidRDefault="00CB2FC1" w:rsidP="00CB2FC1">
      <w:pPr>
        <w:spacing w:line="360" w:lineRule="auto"/>
        <w:jc w:val="both"/>
        <w:rPr>
          <w:sz w:val="22"/>
          <w:szCs w:val="22"/>
          <w:lang w:val="en-GB"/>
        </w:rPr>
      </w:pPr>
      <w:r w:rsidRPr="00E5299D">
        <w:rPr>
          <w:sz w:val="22"/>
          <w:szCs w:val="22"/>
          <w:lang w:val="en-GB"/>
        </w:rPr>
        <w:t xml:space="preserve">3 INSERM, UMR_S 1136, Pierre Louis Institute of Epidemiology and Public Health, </w:t>
      </w:r>
      <w:r>
        <w:rPr>
          <w:sz w:val="22"/>
          <w:szCs w:val="22"/>
          <w:lang w:val="en-GB"/>
        </w:rPr>
        <w:t>75013 Paris</w:t>
      </w:r>
      <w:r w:rsidRPr="00E5299D">
        <w:rPr>
          <w:sz w:val="22"/>
          <w:szCs w:val="22"/>
          <w:lang w:val="en-GB"/>
        </w:rPr>
        <w:t>, France</w:t>
      </w:r>
    </w:p>
    <w:p w:rsidR="00CB2FC1" w:rsidRPr="00E5299D" w:rsidRDefault="00CB2FC1" w:rsidP="00CB2FC1">
      <w:pPr>
        <w:spacing w:line="360" w:lineRule="auto"/>
        <w:jc w:val="both"/>
        <w:rPr>
          <w:sz w:val="22"/>
          <w:szCs w:val="22"/>
          <w:lang w:val="en-GB"/>
        </w:rPr>
      </w:pPr>
      <w:r w:rsidRPr="00E5299D">
        <w:rPr>
          <w:sz w:val="22"/>
          <w:szCs w:val="22"/>
          <w:lang w:val="en-GB"/>
        </w:rPr>
        <w:t xml:space="preserve">4 Sorbonne </w:t>
      </w:r>
      <w:proofErr w:type="spellStart"/>
      <w:r w:rsidRPr="00E5299D">
        <w:rPr>
          <w:sz w:val="22"/>
          <w:szCs w:val="22"/>
          <w:lang w:val="en-GB"/>
        </w:rPr>
        <w:t>Universités</w:t>
      </w:r>
      <w:proofErr w:type="spellEnd"/>
      <w:r w:rsidRPr="00E5299D">
        <w:rPr>
          <w:sz w:val="22"/>
          <w:szCs w:val="22"/>
          <w:lang w:val="en-GB"/>
        </w:rPr>
        <w:t xml:space="preserve">, UPMC </w:t>
      </w:r>
      <w:proofErr w:type="spellStart"/>
      <w:r w:rsidRPr="00E5299D">
        <w:rPr>
          <w:sz w:val="22"/>
          <w:szCs w:val="22"/>
          <w:lang w:val="en-GB"/>
        </w:rPr>
        <w:t>Univ</w:t>
      </w:r>
      <w:proofErr w:type="spellEnd"/>
      <w:r w:rsidRPr="00E5299D">
        <w:rPr>
          <w:sz w:val="22"/>
          <w:szCs w:val="22"/>
          <w:lang w:val="en-GB"/>
        </w:rPr>
        <w:t xml:space="preserve"> Paris 06, UMR_S 1136, Pierre Louis Institute of Epidemiology and Public Health, </w:t>
      </w:r>
      <w:r>
        <w:rPr>
          <w:sz w:val="22"/>
          <w:szCs w:val="22"/>
          <w:lang w:val="en-GB"/>
        </w:rPr>
        <w:t xml:space="preserve">75013 </w:t>
      </w:r>
      <w:r w:rsidRPr="00E5299D">
        <w:rPr>
          <w:sz w:val="22"/>
          <w:szCs w:val="22"/>
          <w:lang w:val="en-GB"/>
        </w:rPr>
        <w:t>Paris, France</w:t>
      </w:r>
    </w:p>
    <w:p w:rsidR="00CB2FC1" w:rsidRPr="00E5299D" w:rsidRDefault="00CB2FC1" w:rsidP="00CB2FC1">
      <w:pPr>
        <w:spacing w:line="360" w:lineRule="auto"/>
        <w:jc w:val="both"/>
        <w:rPr>
          <w:sz w:val="22"/>
          <w:szCs w:val="22"/>
          <w:lang w:val="en-GB"/>
        </w:rPr>
      </w:pPr>
    </w:p>
    <w:p w:rsidR="00CB2FC1" w:rsidRPr="00E5299D" w:rsidRDefault="00CB2FC1" w:rsidP="00CB2FC1">
      <w:pPr>
        <w:spacing w:line="360" w:lineRule="auto"/>
        <w:jc w:val="both"/>
        <w:rPr>
          <w:sz w:val="22"/>
          <w:szCs w:val="22"/>
          <w:lang w:val="en-GB"/>
        </w:rPr>
      </w:pPr>
    </w:p>
    <w:p w:rsidR="00CB2FC1" w:rsidRDefault="00CB2FC1" w:rsidP="00CB2FC1">
      <w:pPr>
        <w:spacing w:line="360" w:lineRule="auto"/>
        <w:rPr>
          <w:sz w:val="22"/>
          <w:szCs w:val="22"/>
          <w:lang w:val="en-GB"/>
        </w:rPr>
      </w:pPr>
      <w:r w:rsidRPr="0032424D">
        <w:rPr>
          <w:sz w:val="22"/>
          <w:szCs w:val="22"/>
          <w:vertAlign w:val="superscript"/>
          <w:lang w:val="en-GB"/>
        </w:rPr>
        <w:t>*</w:t>
      </w:r>
      <w:r>
        <w:rPr>
          <w:sz w:val="22"/>
          <w:szCs w:val="22"/>
          <w:lang w:val="en-GB"/>
        </w:rPr>
        <w:t xml:space="preserve"> Corresponding author: Department of Public Health, Erasmus Medical </w:t>
      </w:r>
      <w:proofErr w:type="spellStart"/>
      <w:r>
        <w:rPr>
          <w:sz w:val="22"/>
          <w:szCs w:val="22"/>
          <w:lang w:val="en-GB"/>
        </w:rPr>
        <w:t>Center</w:t>
      </w:r>
      <w:proofErr w:type="spellEnd"/>
      <w:r>
        <w:rPr>
          <w:sz w:val="22"/>
          <w:szCs w:val="22"/>
          <w:lang w:val="en-GB"/>
        </w:rPr>
        <w:t xml:space="preserve">, P.O. Box 2040, 3000 CA Rotterdam, The Netherlands; e-mail: </w:t>
      </w:r>
      <w:hyperlink r:id="rId8" w:history="1">
        <w:r w:rsidRPr="005C01CC">
          <w:rPr>
            <w:rStyle w:val="Hyperlink"/>
            <w:sz w:val="22"/>
            <w:szCs w:val="22"/>
            <w:lang w:val="en-GB"/>
          </w:rPr>
          <w:t>i.kulhanova@erasmusmc.nl</w:t>
        </w:r>
      </w:hyperlink>
    </w:p>
    <w:p w:rsidR="00CB2FC1" w:rsidRPr="002F3B44" w:rsidRDefault="00CB2FC1" w:rsidP="00CB2FC1">
      <w:pPr>
        <w:pStyle w:val="NoSpacing"/>
        <w:spacing w:line="360" w:lineRule="auto"/>
        <w:rPr>
          <w:rFonts w:ascii="Times New Roman" w:hAnsi="Times New Roman"/>
          <w:lang w:val="en-US"/>
        </w:rPr>
      </w:pPr>
    </w:p>
    <w:p w:rsidR="00CB2FC1" w:rsidRPr="002F3B44" w:rsidRDefault="00CB2FC1" w:rsidP="00CB2FC1">
      <w:pPr>
        <w:spacing w:line="360" w:lineRule="auto"/>
        <w:jc w:val="both"/>
        <w:rPr>
          <w:lang w:val="en-US"/>
        </w:rPr>
      </w:pPr>
    </w:p>
    <w:p w:rsidR="00CB2FC1" w:rsidRPr="002F3B44" w:rsidRDefault="00CB2FC1" w:rsidP="00CB2FC1">
      <w:pPr>
        <w:spacing w:line="360" w:lineRule="auto"/>
        <w:rPr>
          <w:sz w:val="22"/>
          <w:szCs w:val="22"/>
          <w:lang w:val="en-US"/>
        </w:rPr>
      </w:pPr>
    </w:p>
    <w:p w:rsidR="00CB2FC1" w:rsidRPr="002F3B44" w:rsidRDefault="00CB2FC1" w:rsidP="00CB2FC1">
      <w:pPr>
        <w:spacing w:line="360" w:lineRule="auto"/>
        <w:rPr>
          <w:sz w:val="22"/>
          <w:szCs w:val="22"/>
          <w:lang w:val="en-US"/>
        </w:rPr>
      </w:pPr>
    </w:p>
    <w:p w:rsidR="00CB2FC1" w:rsidRPr="002F3B44" w:rsidRDefault="00CB2FC1" w:rsidP="00CB2FC1">
      <w:pPr>
        <w:spacing w:line="360" w:lineRule="auto"/>
        <w:jc w:val="both"/>
        <w:rPr>
          <w:b/>
          <w:sz w:val="22"/>
          <w:szCs w:val="22"/>
          <w:lang w:val="en-US"/>
        </w:rPr>
      </w:pPr>
    </w:p>
    <w:p w:rsidR="00CB2FC1" w:rsidRPr="002F3B44" w:rsidRDefault="00CB2FC1" w:rsidP="00CB2FC1">
      <w:pPr>
        <w:spacing w:line="360" w:lineRule="auto"/>
        <w:jc w:val="both"/>
        <w:rPr>
          <w:b/>
          <w:sz w:val="22"/>
          <w:szCs w:val="22"/>
          <w:lang w:val="en-US"/>
        </w:rPr>
      </w:pPr>
    </w:p>
    <w:p w:rsidR="00CB2FC1" w:rsidRPr="002F3B44" w:rsidRDefault="00CB2FC1" w:rsidP="00CB2FC1">
      <w:pPr>
        <w:spacing w:line="360" w:lineRule="auto"/>
        <w:jc w:val="both"/>
        <w:rPr>
          <w:b/>
          <w:sz w:val="22"/>
          <w:szCs w:val="22"/>
          <w:lang w:val="en-US"/>
        </w:rPr>
      </w:pPr>
    </w:p>
    <w:p w:rsidR="00CB2FC1" w:rsidRPr="002F3B44" w:rsidRDefault="00CB2FC1" w:rsidP="00CB2FC1">
      <w:pPr>
        <w:spacing w:line="360" w:lineRule="auto"/>
        <w:jc w:val="both"/>
        <w:rPr>
          <w:b/>
          <w:sz w:val="22"/>
          <w:szCs w:val="22"/>
          <w:lang w:val="en-US"/>
        </w:rPr>
      </w:pPr>
    </w:p>
    <w:p w:rsidR="00CB2FC1" w:rsidRPr="002F3B44" w:rsidRDefault="00CB2FC1" w:rsidP="00CB2FC1">
      <w:pPr>
        <w:spacing w:line="360" w:lineRule="auto"/>
        <w:jc w:val="both"/>
        <w:rPr>
          <w:b/>
          <w:sz w:val="22"/>
          <w:szCs w:val="22"/>
          <w:lang w:val="en-US"/>
        </w:rPr>
      </w:pPr>
    </w:p>
    <w:p w:rsidR="00CB2FC1" w:rsidRPr="002F3B44" w:rsidRDefault="00CB2FC1" w:rsidP="00CB2FC1">
      <w:pPr>
        <w:spacing w:line="360" w:lineRule="auto"/>
        <w:jc w:val="both"/>
        <w:rPr>
          <w:b/>
          <w:sz w:val="22"/>
          <w:szCs w:val="22"/>
          <w:lang w:val="en-US"/>
        </w:rPr>
      </w:pPr>
    </w:p>
    <w:p w:rsidR="00CB2FC1" w:rsidRPr="002F3B44" w:rsidRDefault="00CB2FC1" w:rsidP="00CB2FC1">
      <w:pPr>
        <w:spacing w:line="360" w:lineRule="auto"/>
        <w:jc w:val="both"/>
        <w:rPr>
          <w:b/>
          <w:sz w:val="22"/>
          <w:szCs w:val="22"/>
          <w:lang w:val="en-US"/>
        </w:rPr>
      </w:pPr>
    </w:p>
    <w:p w:rsidR="00CB2FC1" w:rsidRPr="00C7007F" w:rsidRDefault="00CB2FC1" w:rsidP="00CB2FC1">
      <w:pPr>
        <w:spacing w:line="360" w:lineRule="auto"/>
        <w:jc w:val="both"/>
        <w:rPr>
          <w:lang w:val="en-US"/>
        </w:rPr>
      </w:pPr>
    </w:p>
    <w:p w:rsidR="00CB2FC1" w:rsidRPr="00CB2FC1" w:rsidRDefault="00CB2FC1" w:rsidP="0072035F">
      <w:pPr>
        <w:spacing w:line="360" w:lineRule="auto"/>
        <w:jc w:val="both"/>
        <w:rPr>
          <w:b/>
          <w:sz w:val="22"/>
          <w:szCs w:val="22"/>
          <w:lang w:val="en-US"/>
        </w:rPr>
      </w:pPr>
    </w:p>
    <w:p w:rsidR="00CB2FC1" w:rsidRDefault="00CB2FC1" w:rsidP="0072035F">
      <w:pPr>
        <w:spacing w:line="360" w:lineRule="auto"/>
        <w:jc w:val="both"/>
        <w:rPr>
          <w:b/>
          <w:sz w:val="22"/>
          <w:szCs w:val="22"/>
          <w:lang w:val="en-GB"/>
        </w:rPr>
      </w:pPr>
    </w:p>
    <w:p w:rsidR="00CB2FC1" w:rsidRDefault="00CB2FC1" w:rsidP="0072035F">
      <w:pPr>
        <w:spacing w:line="360" w:lineRule="auto"/>
        <w:jc w:val="both"/>
        <w:rPr>
          <w:b/>
          <w:sz w:val="22"/>
          <w:szCs w:val="22"/>
          <w:lang w:val="en-GB"/>
        </w:rPr>
        <w:sectPr w:rsidR="00CB2FC1" w:rsidSect="0072035F">
          <w:footerReference w:type="even" r:id="rId9"/>
          <w:footerReference w:type="default" r:id="rId10"/>
          <w:pgSz w:w="11906" w:h="16838" w:code="9"/>
          <w:pgMar w:top="1418" w:right="1418" w:bottom="1418" w:left="1418" w:header="709" w:footer="709" w:gutter="0"/>
          <w:cols w:space="708"/>
          <w:docGrid w:linePitch="360"/>
        </w:sectPr>
      </w:pPr>
    </w:p>
    <w:p w:rsidR="007E3401" w:rsidRPr="00D0139E" w:rsidRDefault="007E3401" w:rsidP="007E3401">
      <w:pPr>
        <w:spacing w:line="360" w:lineRule="auto"/>
        <w:jc w:val="both"/>
        <w:rPr>
          <w:b/>
          <w:sz w:val="22"/>
          <w:szCs w:val="22"/>
          <w:lang w:val="en-GB"/>
        </w:rPr>
      </w:pPr>
      <w:r w:rsidRPr="00D0139E">
        <w:rPr>
          <w:b/>
          <w:sz w:val="22"/>
          <w:szCs w:val="22"/>
          <w:lang w:val="en-GB"/>
        </w:rPr>
        <w:lastRenderedPageBreak/>
        <w:t xml:space="preserve">Abstract </w:t>
      </w:r>
    </w:p>
    <w:p w:rsidR="007E3401" w:rsidRPr="00D0139E" w:rsidRDefault="007E3401" w:rsidP="007E3401">
      <w:pPr>
        <w:spacing w:line="360" w:lineRule="auto"/>
        <w:jc w:val="both"/>
        <w:rPr>
          <w:b/>
          <w:sz w:val="22"/>
          <w:szCs w:val="22"/>
          <w:lang w:val="en-GB"/>
        </w:rPr>
      </w:pPr>
      <w:r w:rsidRPr="00D0139E">
        <w:rPr>
          <w:b/>
          <w:sz w:val="22"/>
          <w:szCs w:val="22"/>
          <w:lang w:val="en-GB"/>
        </w:rPr>
        <w:t>Objectives</w:t>
      </w:r>
    </w:p>
    <w:p w:rsidR="007E3401" w:rsidRPr="00D0139E" w:rsidRDefault="007E3401" w:rsidP="007E3401">
      <w:pPr>
        <w:spacing w:line="360" w:lineRule="auto"/>
        <w:jc w:val="both"/>
        <w:rPr>
          <w:sz w:val="22"/>
          <w:szCs w:val="22"/>
          <w:lang w:val="en-GB"/>
        </w:rPr>
      </w:pPr>
      <w:r w:rsidRPr="00D0139E">
        <w:rPr>
          <w:sz w:val="22"/>
          <w:szCs w:val="22"/>
          <w:lang w:val="en-GB"/>
        </w:rPr>
        <w:t xml:space="preserve">Using new facilities for linking large databases, we aimed to evaluate for the first time the magnitude of relative and absolute educational inequalities in mortality by sex and cause of death in the Netherlands. </w:t>
      </w:r>
    </w:p>
    <w:p w:rsidR="007E3401" w:rsidRPr="00D0139E" w:rsidRDefault="007E3401" w:rsidP="007E3401">
      <w:pPr>
        <w:spacing w:line="360" w:lineRule="auto"/>
        <w:jc w:val="both"/>
        <w:rPr>
          <w:b/>
          <w:sz w:val="22"/>
          <w:szCs w:val="22"/>
          <w:lang w:val="en-GB"/>
        </w:rPr>
      </w:pPr>
      <w:r w:rsidRPr="00D0139E">
        <w:rPr>
          <w:b/>
          <w:sz w:val="22"/>
          <w:szCs w:val="22"/>
          <w:lang w:val="en-GB"/>
        </w:rPr>
        <w:t>Methods</w:t>
      </w:r>
    </w:p>
    <w:p w:rsidR="007E3401" w:rsidRPr="00D0139E" w:rsidRDefault="007E3401" w:rsidP="007E3401">
      <w:pPr>
        <w:spacing w:line="360" w:lineRule="auto"/>
        <w:jc w:val="both"/>
        <w:rPr>
          <w:sz w:val="22"/>
          <w:szCs w:val="22"/>
          <w:lang w:val="en-GB"/>
        </w:rPr>
      </w:pPr>
      <w:r w:rsidRPr="00D0139E">
        <w:rPr>
          <w:sz w:val="22"/>
          <w:szCs w:val="22"/>
          <w:lang w:val="en-GB"/>
        </w:rPr>
        <w:t xml:space="preserve">We analysed data from Dutch Labour Force Surveys (1998–2002) with mortality follow-up 1998–2007 among people aged 30–79 years. We calculated hazard ratios using Cox </w:t>
      </w:r>
      <w:r>
        <w:rPr>
          <w:sz w:val="22"/>
          <w:szCs w:val="22"/>
          <w:lang w:val="en-GB"/>
        </w:rPr>
        <w:t xml:space="preserve">proportional hazards </w:t>
      </w:r>
      <w:r w:rsidRPr="00D0139E">
        <w:rPr>
          <w:sz w:val="22"/>
          <w:szCs w:val="22"/>
          <w:lang w:val="en-GB"/>
        </w:rPr>
        <w:t xml:space="preserve">model, age-standardized mortality rates and partial life expectancy by education. We compared results for the Netherlands with those for other European countries. </w:t>
      </w:r>
    </w:p>
    <w:p w:rsidR="007E3401" w:rsidRPr="00D0139E" w:rsidRDefault="007E3401" w:rsidP="007E3401">
      <w:pPr>
        <w:spacing w:line="360" w:lineRule="auto"/>
        <w:jc w:val="both"/>
        <w:rPr>
          <w:b/>
          <w:sz w:val="22"/>
          <w:szCs w:val="22"/>
          <w:lang w:val="en-GB"/>
        </w:rPr>
      </w:pPr>
      <w:r w:rsidRPr="00D0139E">
        <w:rPr>
          <w:b/>
          <w:sz w:val="22"/>
          <w:szCs w:val="22"/>
          <w:lang w:val="en-GB"/>
        </w:rPr>
        <w:t>Results</w:t>
      </w:r>
    </w:p>
    <w:p w:rsidR="007E3401" w:rsidRPr="00D0139E" w:rsidRDefault="007E3401" w:rsidP="007E3401">
      <w:pPr>
        <w:spacing w:line="360" w:lineRule="auto"/>
        <w:jc w:val="both"/>
        <w:rPr>
          <w:sz w:val="22"/>
          <w:szCs w:val="22"/>
          <w:lang w:val="en-GB"/>
        </w:rPr>
      </w:pPr>
      <w:r w:rsidRPr="00D0139E">
        <w:rPr>
          <w:sz w:val="22"/>
          <w:szCs w:val="22"/>
          <w:lang w:val="en-GB"/>
        </w:rPr>
        <w:t xml:space="preserve">The relative risk of dying was about two times higher among primary educated men and women as compared to their tertiary educated counterparts, leading to a gap in partial life expectancy of 3.4 years (men) and 2.4 years (women). Inequalities in mortality are similar to those in other countries in North-Western Europe, but inequalities in lung cancer mortality are substantially larger in the Netherlands, particularly among men. </w:t>
      </w:r>
    </w:p>
    <w:p w:rsidR="007E3401" w:rsidRPr="00D0139E" w:rsidRDefault="007E3401" w:rsidP="007E3401">
      <w:pPr>
        <w:spacing w:line="360" w:lineRule="auto"/>
        <w:jc w:val="both"/>
        <w:rPr>
          <w:b/>
          <w:sz w:val="22"/>
          <w:szCs w:val="22"/>
          <w:lang w:val="en-GB"/>
        </w:rPr>
      </w:pPr>
      <w:r w:rsidRPr="00D0139E">
        <w:rPr>
          <w:b/>
          <w:sz w:val="22"/>
          <w:szCs w:val="22"/>
          <w:lang w:val="en-GB"/>
        </w:rPr>
        <w:t>Conclusion</w:t>
      </w:r>
    </w:p>
    <w:p w:rsidR="007E3401" w:rsidRPr="00D0139E" w:rsidRDefault="007E3401" w:rsidP="007E3401">
      <w:pPr>
        <w:spacing w:line="360" w:lineRule="auto"/>
        <w:jc w:val="both"/>
        <w:rPr>
          <w:sz w:val="22"/>
          <w:szCs w:val="22"/>
          <w:lang w:val="en-GB"/>
        </w:rPr>
      </w:pPr>
      <w:r w:rsidRPr="00D0139E">
        <w:rPr>
          <w:sz w:val="22"/>
          <w:szCs w:val="22"/>
          <w:lang w:val="en-GB"/>
        </w:rPr>
        <w:t>The Netherlands has large inequalities in mortality, especially for smoking-related causes of death.</w:t>
      </w:r>
    </w:p>
    <w:p w:rsidR="007E3401" w:rsidRPr="00D0139E" w:rsidRDefault="007E3401" w:rsidP="007E3401">
      <w:pPr>
        <w:spacing w:line="360" w:lineRule="auto"/>
        <w:jc w:val="both"/>
        <w:rPr>
          <w:sz w:val="22"/>
          <w:szCs w:val="22"/>
          <w:lang w:val="en-GB"/>
        </w:rPr>
      </w:pPr>
      <w:r w:rsidRPr="00D0139E">
        <w:rPr>
          <w:sz w:val="22"/>
          <w:szCs w:val="22"/>
          <w:lang w:val="en-GB"/>
        </w:rPr>
        <w:t xml:space="preserve">These large inequalities require the urgent attention of policy makers. </w:t>
      </w:r>
    </w:p>
    <w:p w:rsidR="007E3401" w:rsidRPr="00D0139E" w:rsidRDefault="007E3401" w:rsidP="007E3401">
      <w:pPr>
        <w:spacing w:line="360" w:lineRule="auto"/>
        <w:jc w:val="both"/>
        <w:rPr>
          <w:b/>
          <w:sz w:val="22"/>
          <w:szCs w:val="22"/>
          <w:lang w:val="en-GB"/>
        </w:rPr>
      </w:pPr>
    </w:p>
    <w:p w:rsidR="007E3401" w:rsidRPr="00D0139E" w:rsidRDefault="007E3401" w:rsidP="007E3401">
      <w:pPr>
        <w:spacing w:line="360" w:lineRule="auto"/>
        <w:jc w:val="both"/>
        <w:rPr>
          <w:b/>
          <w:sz w:val="22"/>
          <w:szCs w:val="22"/>
          <w:lang w:val="en-GB"/>
        </w:rPr>
      </w:pPr>
      <w:r w:rsidRPr="00D0139E">
        <w:rPr>
          <w:b/>
          <w:sz w:val="22"/>
          <w:szCs w:val="22"/>
          <w:lang w:val="en-GB"/>
        </w:rPr>
        <w:t xml:space="preserve">Keywords: </w:t>
      </w:r>
      <w:r w:rsidRPr="00D0139E">
        <w:rPr>
          <w:sz w:val="22"/>
          <w:szCs w:val="22"/>
          <w:lang w:val="en-GB"/>
        </w:rPr>
        <w:t>mortality, education, inequality, causes of death, Netherlands</w:t>
      </w:r>
    </w:p>
    <w:p w:rsidR="007E3401" w:rsidRDefault="007E3401" w:rsidP="0072035F">
      <w:pPr>
        <w:spacing w:line="360" w:lineRule="auto"/>
        <w:jc w:val="both"/>
        <w:rPr>
          <w:b/>
          <w:sz w:val="22"/>
          <w:szCs w:val="22"/>
          <w:lang w:val="en-GB"/>
        </w:rPr>
      </w:pPr>
    </w:p>
    <w:p w:rsidR="007E3401" w:rsidRDefault="007E3401" w:rsidP="0072035F">
      <w:pPr>
        <w:spacing w:line="360" w:lineRule="auto"/>
        <w:jc w:val="both"/>
        <w:rPr>
          <w:b/>
          <w:sz w:val="22"/>
          <w:szCs w:val="22"/>
          <w:lang w:val="en-GB"/>
        </w:rPr>
        <w:sectPr w:rsidR="007E3401" w:rsidSect="0072035F">
          <w:pgSz w:w="11906" w:h="16838" w:code="9"/>
          <w:pgMar w:top="1418" w:right="1418" w:bottom="1418" w:left="1418" w:header="709" w:footer="709" w:gutter="0"/>
          <w:cols w:space="708"/>
          <w:docGrid w:linePitch="360"/>
        </w:sectPr>
      </w:pPr>
    </w:p>
    <w:p w:rsidR="000742A8" w:rsidRPr="00D0139E" w:rsidRDefault="000742A8" w:rsidP="0072035F">
      <w:pPr>
        <w:spacing w:line="360" w:lineRule="auto"/>
        <w:jc w:val="both"/>
        <w:rPr>
          <w:b/>
          <w:sz w:val="22"/>
          <w:szCs w:val="22"/>
          <w:lang w:val="en-GB"/>
        </w:rPr>
      </w:pPr>
      <w:r w:rsidRPr="00D0139E">
        <w:rPr>
          <w:b/>
          <w:sz w:val="22"/>
          <w:szCs w:val="22"/>
          <w:lang w:val="en-GB"/>
        </w:rPr>
        <w:lastRenderedPageBreak/>
        <w:t>INTRODUCTION</w:t>
      </w:r>
    </w:p>
    <w:p w:rsidR="000742A8" w:rsidRPr="00D0139E" w:rsidRDefault="000742A8" w:rsidP="0072035F">
      <w:pPr>
        <w:spacing w:line="360" w:lineRule="auto"/>
        <w:jc w:val="both"/>
        <w:rPr>
          <w:sz w:val="22"/>
          <w:szCs w:val="22"/>
          <w:lang w:val="en-GB"/>
        </w:rPr>
      </w:pPr>
      <w:r w:rsidRPr="00D0139E">
        <w:rPr>
          <w:sz w:val="22"/>
          <w:szCs w:val="22"/>
          <w:lang w:val="en-GB"/>
        </w:rPr>
        <w:t xml:space="preserve">Socioeconomic inequalities in total and cause-specific mortality have been reported from most European countries </w:t>
      </w:r>
      <w:r>
        <w:rPr>
          <w:noProof/>
          <w:sz w:val="22"/>
          <w:szCs w:val="22"/>
          <w:lang w:val="en-GB"/>
        </w:rPr>
        <w:t>(Huisman et al. 2005; Mackenbach et al. 2008)</w:t>
      </w:r>
      <w:r w:rsidRPr="00D0139E">
        <w:rPr>
          <w:sz w:val="22"/>
          <w:szCs w:val="22"/>
          <w:lang w:val="en-GB"/>
        </w:rPr>
        <w:t xml:space="preserve">, but until recently these data were not available for the Netherlands, due to deficiencies in the national data collection system </w:t>
      </w:r>
      <w:r>
        <w:rPr>
          <w:noProof/>
          <w:sz w:val="22"/>
          <w:szCs w:val="22"/>
          <w:lang w:val="en-GB"/>
        </w:rPr>
        <w:t>(Groenewold et al. 2008)</w:t>
      </w:r>
      <w:r w:rsidRPr="0074337A">
        <w:rPr>
          <w:sz w:val="22"/>
          <w:szCs w:val="22"/>
          <w:lang w:val="en-GB"/>
        </w:rPr>
        <w:t xml:space="preserve">. </w:t>
      </w:r>
      <w:r w:rsidRPr="00D0139E">
        <w:rPr>
          <w:sz w:val="22"/>
          <w:szCs w:val="22"/>
          <w:lang w:val="en-GB"/>
        </w:rPr>
        <w:t xml:space="preserve">The Netherlands has a strong tradition of research into socioeconomic inequalities in health but this is mainly built on national self-reported data </w:t>
      </w:r>
      <w:r>
        <w:rPr>
          <w:noProof/>
          <w:sz w:val="22"/>
          <w:szCs w:val="22"/>
          <w:lang w:val="en-GB"/>
        </w:rPr>
        <w:t>(Dalstra et al. 2002; Mackenbach 1993)</w:t>
      </w:r>
      <w:r w:rsidRPr="00D0139E">
        <w:rPr>
          <w:sz w:val="22"/>
          <w:szCs w:val="22"/>
          <w:lang w:val="en-GB"/>
        </w:rPr>
        <w:t xml:space="preserve">,  regional mortality data from specific cohorts such as the GLOBE </w:t>
      </w:r>
      <w:r w:rsidRPr="00D0139E">
        <w:rPr>
          <w:noProof/>
          <w:sz w:val="22"/>
          <w:szCs w:val="22"/>
          <w:lang w:val="en-GB"/>
        </w:rPr>
        <w:t>(Bosma et al. 2001; van Lenthe et al. 2004)</w:t>
      </w:r>
      <w:r w:rsidRPr="00D0139E">
        <w:rPr>
          <w:sz w:val="22"/>
          <w:szCs w:val="22"/>
          <w:lang w:val="en-GB"/>
        </w:rPr>
        <w:t xml:space="preserve"> and MORGEN studies </w:t>
      </w:r>
      <w:r w:rsidRPr="00D0139E">
        <w:rPr>
          <w:noProof/>
          <w:sz w:val="22"/>
          <w:szCs w:val="22"/>
          <w:lang w:val="en-GB"/>
        </w:rPr>
        <w:t>(Burger et al. 2011; van der A et al. 2013)</w:t>
      </w:r>
      <w:r w:rsidRPr="00D0139E">
        <w:rPr>
          <w:sz w:val="22"/>
          <w:szCs w:val="22"/>
          <w:lang w:val="en-GB"/>
        </w:rPr>
        <w:t xml:space="preserve">, or ecological studies </w:t>
      </w:r>
      <w:r w:rsidRPr="00D0139E">
        <w:rPr>
          <w:noProof/>
          <w:sz w:val="22"/>
          <w:szCs w:val="22"/>
          <w:lang w:val="en-GB"/>
        </w:rPr>
        <w:t>(Kunst et al. 1990; Kunst et al. 1993)</w:t>
      </w:r>
      <w:r w:rsidRPr="00D0139E">
        <w:rPr>
          <w:sz w:val="22"/>
          <w:szCs w:val="22"/>
          <w:lang w:val="en-GB"/>
        </w:rPr>
        <w:t xml:space="preserve">. Although these studies have clearly demonstrated that socioeconomic inequalities in mortality are present in the Netherlands, it is so far unclear whether the magnitude and cause-specific patterning of these inequalities are similar or different from those in other North-Western European countries, partly because these studies are not directly comparable to similar studies in other countries. </w:t>
      </w: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Studies of mortality by socioeconomic position have found substantial differences in the magnitude of inequalities between European populations </w:t>
      </w:r>
      <w:r w:rsidRPr="00D0139E">
        <w:rPr>
          <w:noProof/>
          <w:sz w:val="22"/>
          <w:szCs w:val="22"/>
          <w:lang w:val="en-GB"/>
        </w:rPr>
        <w:t>(Huisman et al. 2005; Mackenbach et al. 2008)</w:t>
      </w:r>
      <w:r w:rsidRPr="00D0139E">
        <w:rPr>
          <w:sz w:val="22"/>
          <w:szCs w:val="22"/>
          <w:lang w:val="en-GB"/>
        </w:rPr>
        <w:t>. Broadly speaking, three geographi</w:t>
      </w:r>
      <w:r w:rsidR="009F45A1">
        <w:rPr>
          <w:sz w:val="22"/>
          <w:szCs w:val="22"/>
          <w:lang w:val="en-GB"/>
        </w:rPr>
        <w:t>cal areas, each with their own ‘regim</w:t>
      </w:r>
      <w:r w:rsidR="004C11C0">
        <w:rPr>
          <w:sz w:val="22"/>
          <w:szCs w:val="22"/>
          <w:lang w:val="en-GB"/>
        </w:rPr>
        <w:t>e</w:t>
      </w:r>
      <w:r w:rsidR="009F45A1">
        <w:rPr>
          <w:sz w:val="22"/>
          <w:szCs w:val="22"/>
          <w:lang w:val="en-GB"/>
        </w:rPr>
        <w:t>’</w:t>
      </w:r>
      <w:r w:rsidRPr="00D0139E">
        <w:rPr>
          <w:sz w:val="22"/>
          <w:szCs w:val="22"/>
          <w:lang w:val="en-GB"/>
        </w:rPr>
        <w:t xml:space="preserve"> of socioeconomic inequalities in cause-specific mortality and related risk factor</w:t>
      </w:r>
      <w:r w:rsidR="0057188D">
        <w:rPr>
          <w:sz w:val="22"/>
          <w:szCs w:val="22"/>
          <w:lang w:val="en-GB"/>
        </w:rPr>
        <w:t>s, can be distinguished. North-W</w:t>
      </w:r>
      <w:r w:rsidRPr="00D0139E">
        <w:rPr>
          <w:sz w:val="22"/>
          <w:szCs w:val="22"/>
          <w:lang w:val="en-GB"/>
        </w:rPr>
        <w:t xml:space="preserve">estern Europe (e.g., the Scandinavian countries, England and Wales, Belgium) is characterized by </w:t>
      </w:r>
      <w:r w:rsidRPr="00D0139E">
        <w:rPr>
          <w:i/>
          <w:sz w:val="22"/>
          <w:szCs w:val="22"/>
          <w:lang w:val="en-GB"/>
        </w:rPr>
        <w:t>large</w:t>
      </w:r>
      <w:r w:rsidRPr="00D0139E">
        <w:rPr>
          <w:sz w:val="22"/>
          <w:szCs w:val="22"/>
          <w:lang w:val="en-GB"/>
        </w:rPr>
        <w:t xml:space="preserve"> inequalities in mortality from cardiovascular diseases and cancer, and from conditions due to smoking and alcohol consumption, and by </w:t>
      </w:r>
      <w:r w:rsidRPr="00D0139E">
        <w:rPr>
          <w:i/>
          <w:sz w:val="22"/>
          <w:szCs w:val="22"/>
          <w:lang w:val="en-GB"/>
        </w:rPr>
        <w:t xml:space="preserve">small </w:t>
      </w:r>
      <w:r w:rsidRPr="00D0139E">
        <w:rPr>
          <w:sz w:val="22"/>
          <w:szCs w:val="22"/>
          <w:lang w:val="en-GB"/>
        </w:rPr>
        <w:t>inequalities in mortality from conditions amenable to health care. Southern Europe (</w:t>
      </w:r>
      <w:r w:rsidR="00AA084F">
        <w:rPr>
          <w:sz w:val="22"/>
          <w:szCs w:val="22"/>
          <w:lang w:val="en-GB"/>
        </w:rPr>
        <w:t>e.g.</w:t>
      </w:r>
      <w:r w:rsidRPr="00D0139E">
        <w:rPr>
          <w:sz w:val="22"/>
          <w:szCs w:val="22"/>
          <w:lang w:val="en-GB"/>
        </w:rPr>
        <w:t xml:space="preserve">, Spain and Italy) is characterized by </w:t>
      </w:r>
      <w:r w:rsidRPr="00D0139E">
        <w:rPr>
          <w:i/>
          <w:sz w:val="22"/>
          <w:szCs w:val="22"/>
          <w:lang w:val="en-GB"/>
        </w:rPr>
        <w:t>small</w:t>
      </w:r>
      <w:r w:rsidRPr="00D0139E">
        <w:rPr>
          <w:sz w:val="22"/>
          <w:szCs w:val="22"/>
          <w:lang w:val="en-GB"/>
        </w:rPr>
        <w:t xml:space="preserve"> inequalities in mortality from cardiovascular diseases and cancer (women only), from conditions due to smoking and alcohol consumption (women only), and from conditions amenable to health care. Finally, Central and Eastern Europe (e.g., Czech Republic, Hungary, Baltic states) is characterized by </w:t>
      </w:r>
      <w:r w:rsidRPr="00D0139E">
        <w:rPr>
          <w:i/>
          <w:sz w:val="22"/>
          <w:szCs w:val="22"/>
          <w:lang w:val="en-GB"/>
        </w:rPr>
        <w:t>huge</w:t>
      </w:r>
      <w:r w:rsidRPr="00D0139E">
        <w:rPr>
          <w:sz w:val="22"/>
          <w:szCs w:val="22"/>
          <w:lang w:val="en-GB"/>
        </w:rPr>
        <w:t xml:space="preserve"> inequalities in mortality from cardiovascular diseases, cancer (men only), and injury, from conditions due to smoking (men only) and alcohol consumption, and from conditions amenable to health care </w:t>
      </w:r>
      <w:r>
        <w:rPr>
          <w:noProof/>
          <w:sz w:val="22"/>
          <w:szCs w:val="22"/>
          <w:lang w:val="en-GB"/>
        </w:rPr>
        <w:t>(Borrell et al. 2005; Mackenbach et al. 2008; Stirbu et al. 2010)</w:t>
      </w:r>
      <w:r w:rsidRPr="00D0139E">
        <w:rPr>
          <w:sz w:val="22"/>
          <w:szCs w:val="22"/>
          <w:lang w:val="en-GB"/>
        </w:rPr>
        <w:t xml:space="preserve">. </w:t>
      </w: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The aim of this study was to quantify inequalities in total and cause-specific mortality by education in the Netherlands, in order to compare the Netherlands with other European countries, and in order to identify entry-points for tackling inequalities in mortality. We focused on education as a measure of socioeconomic status (instead of, e.g. income or occupational class) because it is the most stable measure and has several advantages over other measures of socioeconomic status. Education is easy to measure, is easily reported and is relevant for both men and women regardless of their employment conditions. It is completed in early adulthood; therefore, contrary to other socioeconomic indicators, reverse causality (ill-health leading to low socioeconomic position, instead of vice versa) is unlikely to happen, except for major mental disorders, and education </w:t>
      </w:r>
      <w:r>
        <w:rPr>
          <w:sz w:val="22"/>
          <w:szCs w:val="22"/>
          <w:lang w:val="en-GB"/>
        </w:rPr>
        <w:t>avoids the problem of health-re</w:t>
      </w:r>
      <w:r w:rsidRPr="00D0139E">
        <w:rPr>
          <w:sz w:val="22"/>
          <w:szCs w:val="22"/>
          <w:lang w:val="en-GB"/>
        </w:rPr>
        <w:t>l</w:t>
      </w:r>
      <w:r>
        <w:rPr>
          <w:sz w:val="22"/>
          <w:szCs w:val="22"/>
          <w:lang w:val="en-GB"/>
        </w:rPr>
        <w:t>a</w:t>
      </w:r>
      <w:r w:rsidRPr="00D0139E">
        <w:rPr>
          <w:sz w:val="22"/>
          <w:szCs w:val="22"/>
          <w:lang w:val="en-GB"/>
        </w:rPr>
        <w:t xml:space="preserve">ted social mobility later in life </w:t>
      </w:r>
      <w:r w:rsidRPr="00D0139E">
        <w:rPr>
          <w:noProof/>
          <w:sz w:val="22"/>
          <w:szCs w:val="22"/>
          <w:lang w:val="en-GB"/>
        </w:rPr>
        <w:t>(Galobardes et al. 2007; Lahelma et al. 2004)</w:t>
      </w:r>
      <w:r w:rsidRPr="00D0139E">
        <w:rPr>
          <w:sz w:val="22"/>
          <w:szCs w:val="22"/>
          <w:lang w:val="en-GB"/>
        </w:rPr>
        <w:t xml:space="preserve">. Education is closely linked to </w:t>
      </w:r>
      <w:r w:rsidRPr="00D0139E">
        <w:rPr>
          <w:sz w:val="22"/>
          <w:szCs w:val="22"/>
          <w:lang w:val="en-GB"/>
        </w:rPr>
        <w:lastRenderedPageBreak/>
        <w:t xml:space="preserve">mortality. An increasing body of the literature suggests that a large part of this association is causal </w:t>
      </w:r>
      <w:r w:rsidRPr="00D0139E">
        <w:rPr>
          <w:noProof/>
          <w:sz w:val="22"/>
          <w:szCs w:val="22"/>
          <w:lang w:val="en-GB"/>
        </w:rPr>
        <w:t>(Gathmann et al. 2014; Lager and Torssander 2012)</w:t>
      </w:r>
      <w:r w:rsidRPr="00D0139E">
        <w:rPr>
          <w:sz w:val="22"/>
          <w:szCs w:val="22"/>
          <w:lang w:val="en-GB"/>
        </w:rPr>
        <w:t xml:space="preserve">. Education captures the knowledge related assets of a person. Higher education can be interpreted as a better ability to understand and follow health prevention messages, to use the health care system and to modify his/her behaviour. In addition, education is partly determined by childhood socioeconomic circumstances, it is associated with a lower probability of unemployment, better working conditions and higher income </w:t>
      </w:r>
      <w:r w:rsidRPr="00D0139E">
        <w:rPr>
          <w:noProof/>
          <w:sz w:val="22"/>
          <w:szCs w:val="22"/>
          <w:lang w:val="en-GB"/>
        </w:rPr>
        <w:t>(Galobardes et al. 2007; Ross and Wu 1995)</w:t>
      </w:r>
      <w:r w:rsidRPr="00D0139E">
        <w:rPr>
          <w:sz w:val="22"/>
          <w:szCs w:val="22"/>
          <w:lang w:val="en-GB"/>
        </w:rPr>
        <w:t xml:space="preserve">. </w:t>
      </w:r>
    </w:p>
    <w:p w:rsidR="000742A8" w:rsidRPr="00D0139E" w:rsidRDefault="000742A8" w:rsidP="0072035F">
      <w:pPr>
        <w:spacing w:line="360" w:lineRule="auto"/>
        <w:ind w:firstLine="284"/>
        <w:jc w:val="both"/>
        <w:rPr>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sectPr w:rsidR="000742A8" w:rsidRPr="00D0139E" w:rsidSect="0072035F">
          <w:pgSz w:w="11906" w:h="16838" w:code="9"/>
          <w:pgMar w:top="1418" w:right="1418" w:bottom="1418" w:left="1418" w:header="709" w:footer="709" w:gutter="0"/>
          <w:cols w:space="708"/>
          <w:docGrid w:linePitch="360"/>
        </w:sectPr>
      </w:pPr>
    </w:p>
    <w:p w:rsidR="000742A8" w:rsidRPr="00D0139E" w:rsidRDefault="000742A8" w:rsidP="0072035F">
      <w:pPr>
        <w:spacing w:line="360" w:lineRule="auto"/>
        <w:jc w:val="both"/>
        <w:rPr>
          <w:b/>
          <w:sz w:val="22"/>
          <w:szCs w:val="22"/>
          <w:lang w:val="en-GB"/>
        </w:rPr>
      </w:pPr>
      <w:r w:rsidRPr="00D0139E">
        <w:rPr>
          <w:b/>
          <w:sz w:val="22"/>
          <w:szCs w:val="22"/>
          <w:lang w:val="en-GB"/>
        </w:rPr>
        <w:lastRenderedPageBreak/>
        <w:t>METHODS</w:t>
      </w:r>
    </w:p>
    <w:p w:rsidR="000742A8" w:rsidRPr="00D0139E" w:rsidRDefault="000742A8" w:rsidP="0072035F">
      <w:pPr>
        <w:spacing w:line="360" w:lineRule="auto"/>
        <w:rPr>
          <w:b/>
          <w:i/>
          <w:sz w:val="22"/>
          <w:szCs w:val="22"/>
          <w:lang w:val="en-GB"/>
        </w:rPr>
      </w:pPr>
      <w:r w:rsidRPr="00D0139E">
        <w:rPr>
          <w:b/>
          <w:i/>
          <w:sz w:val="22"/>
          <w:szCs w:val="22"/>
          <w:lang w:val="en-GB"/>
        </w:rPr>
        <w:t>Study population</w:t>
      </w:r>
    </w:p>
    <w:p w:rsidR="000742A8" w:rsidRPr="00D0139E" w:rsidRDefault="000742A8" w:rsidP="0072035F">
      <w:pPr>
        <w:spacing w:line="360" w:lineRule="auto"/>
        <w:jc w:val="both"/>
        <w:rPr>
          <w:sz w:val="22"/>
          <w:szCs w:val="22"/>
          <w:lang w:val="en-GB"/>
        </w:rPr>
      </w:pPr>
      <w:r w:rsidRPr="00D0139E">
        <w:rPr>
          <w:sz w:val="22"/>
          <w:szCs w:val="22"/>
          <w:lang w:val="en-GB"/>
        </w:rPr>
        <w:t xml:space="preserve">To estimate socioeconomic inequalities in mortality we linked death records to a large national survey containing information on education level, i.e., the Dutch Labour Force Survey (LFS). The Dutch LFS is a household survey carried out by Statistics Netherlands since 1987. Its representative sample of the Dutch population is drawn from the population administrations of Dutch municipalities. The target population consists of persons 15 years and older excluding people living in institutions. Although the main objective of the Dutch LFS is to collect statistics about the employment status of persons and households, it also covers persons 65 years and older. The information is gathered by means of a face-to-face or phone interview and checked for internal inconsistencies. The response rate fluctuates around 60% over the years </w:t>
      </w:r>
      <w:r w:rsidRPr="00D0139E">
        <w:rPr>
          <w:noProof/>
          <w:sz w:val="22"/>
          <w:szCs w:val="22"/>
          <w:lang w:val="en-GB"/>
        </w:rPr>
        <w:t>(Cobben 2009)</w:t>
      </w:r>
      <w:r w:rsidRPr="00D0139E">
        <w:rPr>
          <w:sz w:val="22"/>
          <w:szCs w:val="22"/>
          <w:lang w:val="en-GB"/>
        </w:rPr>
        <w:t>.  An under- or over-representation of certain population groups in the response rate is corrected through weighting. Mortality data classified by sex, age and underlying cause of death were obtained from the death records collected by Statistics Netherlands. These death records were available for the years 1998–200</w:t>
      </w:r>
      <w:r w:rsidR="002F5863">
        <w:rPr>
          <w:sz w:val="22"/>
          <w:szCs w:val="22"/>
          <w:lang w:val="en-GB"/>
        </w:rPr>
        <w:t>7</w:t>
      </w:r>
      <w:r w:rsidRPr="00D0139E">
        <w:rPr>
          <w:sz w:val="22"/>
          <w:szCs w:val="22"/>
          <w:lang w:val="en-GB"/>
        </w:rPr>
        <w:t xml:space="preserve">. </w:t>
      </w: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Statistics Netherlands assign an encoded personal number to all death records and all respondents to the Dutch LFS which is unique to each person and identifies that person in the population register, and we used this to assess the survival status and cause of death of respondents to the Dutch LFS. Five baseline years of the Dutch LFS (1998-2002) were available for the linkage with the death records. We selected people at age 30 years and older at baseline and followed them six years from each baseline year (i.e. we followed the people included in the deaths registries for 1998–2003, 1999–2004, 2000–2005, 2001–2006 and 2002–2007). The individuals who died beyond the follow-up time for each baseline year were treated as alive. </w:t>
      </w:r>
    </w:p>
    <w:p w:rsidR="000742A8" w:rsidRPr="00D0139E" w:rsidRDefault="000742A8" w:rsidP="0072035F">
      <w:pPr>
        <w:spacing w:line="360" w:lineRule="auto"/>
        <w:jc w:val="both"/>
        <w:rPr>
          <w:sz w:val="22"/>
          <w:szCs w:val="22"/>
          <w:lang w:val="en-GB"/>
        </w:rPr>
      </w:pPr>
    </w:p>
    <w:p w:rsidR="000742A8" w:rsidRPr="00D0139E" w:rsidRDefault="000742A8" w:rsidP="0072035F">
      <w:pPr>
        <w:spacing w:line="360" w:lineRule="auto"/>
        <w:jc w:val="both"/>
        <w:rPr>
          <w:b/>
          <w:i/>
          <w:sz w:val="22"/>
          <w:szCs w:val="22"/>
          <w:lang w:val="en-GB"/>
        </w:rPr>
      </w:pPr>
      <w:r w:rsidRPr="00D0139E">
        <w:rPr>
          <w:b/>
          <w:i/>
          <w:sz w:val="22"/>
          <w:szCs w:val="22"/>
          <w:lang w:val="en-GB"/>
        </w:rPr>
        <w:t>Measures</w:t>
      </w:r>
    </w:p>
    <w:p w:rsidR="000742A8" w:rsidRPr="00D0139E" w:rsidRDefault="000742A8" w:rsidP="0072035F">
      <w:pPr>
        <w:spacing w:line="360" w:lineRule="auto"/>
        <w:jc w:val="both"/>
        <w:rPr>
          <w:sz w:val="22"/>
          <w:szCs w:val="22"/>
          <w:lang w:val="en-GB"/>
        </w:rPr>
      </w:pPr>
      <w:r w:rsidRPr="00D0139E">
        <w:rPr>
          <w:sz w:val="22"/>
          <w:szCs w:val="22"/>
          <w:lang w:val="en-GB"/>
        </w:rPr>
        <w:t xml:space="preserve">Socioeconomic status was measured by the highest completed educational level. For the sake of comparability with data from other countries (see below), we recoded the Dutch educational level into four categories according to the International Standard Classification of Education (ISCED): primary education (ISCED 0, 1), lower secondary education (ISCED 2), upper secondary education (ISCED 3, 4), and tertiary education (ISCED 5, </w:t>
      </w:r>
      <w:r>
        <w:rPr>
          <w:sz w:val="22"/>
          <w:szCs w:val="22"/>
          <w:lang w:val="en-GB"/>
        </w:rPr>
        <w:t>6</w:t>
      </w:r>
      <w:r w:rsidRPr="00D0139E">
        <w:rPr>
          <w:sz w:val="22"/>
          <w:szCs w:val="22"/>
          <w:lang w:val="en-GB"/>
        </w:rPr>
        <w:t>).</w:t>
      </w:r>
      <w:r>
        <w:rPr>
          <w:sz w:val="22"/>
          <w:szCs w:val="22"/>
          <w:lang w:val="en-GB"/>
        </w:rPr>
        <w:t xml:space="preserve"> The Netherlands’ educational profile is on average comparable with that in other North-Western European countries for both men and women. However, 60–79-year old men in the Netherlands are less often low educated than men of the same age in other North-Western European countries. Dutch women are more often low educated at younger ages (30–59 years) than their counterparts in the Nordic countries. </w:t>
      </w:r>
      <w:r w:rsidRPr="00D0139E">
        <w:rPr>
          <w:sz w:val="22"/>
          <w:szCs w:val="22"/>
          <w:lang w:val="en-GB"/>
        </w:rPr>
        <w:t xml:space="preserve"> </w:t>
      </w:r>
    </w:p>
    <w:p w:rsidR="000742A8" w:rsidRPr="00D0139E" w:rsidRDefault="000742A8" w:rsidP="0072035F">
      <w:pPr>
        <w:spacing w:line="360" w:lineRule="auto"/>
        <w:ind w:firstLine="284"/>
        <w:jc w:val="both"/>
        <w:rPr>
          <w:sz w:val="22"/>
          <w:szCs w:val="22"/>
          <w:lang w:val="en-GB"/>
        </w:rPr>
      </w:pPr>
      <w:r w:rsidRPr="00D0139E">
        <w:rPr>
          <w:sz w:val="22"/>
          <w:szCs w:val="22"/>
          <w:lang w:val="en-GB"/>
        </w:rPr>
        <w:t>We investigated total as well as cause-specific mortality. The causes of death were classified according to the 10</w:t>
      </w:r>
      <w:r w:rsidRPr="00D0139E">
        <w:rPr>
          <w:sz w:val="22"/>
          <w:szCs w:val="22"/>
          <w:vertAlign w:val="superscript"/>
          <w:lang w:val="en-GB"/>
        </w:rPr>
        <w:t>th</w:t>
      </w:r>
      <w:r w:rsidRPr="00D0139E">
        <w:rPr>
          <w:sz w:val="22"/>
          <w:szCs w:val="22"/>
          <w:lang w:val="en-GB"/>
        </w:rPr>
        <w:t xml:space="preserve"> Revision of the Internati</w:t>
      </w:r>
      <w:r>
        <w:rPr>
          <w:sz w:val="22"/>
          <w:szCs w:val="22"/>
          <w:lang w:val="en-GB"/>
        </w:rPr>
        <w:t>onal Classification of Diseases</w:t>
      </w:r>
      <w:r w:rsidRPr="00D0139E">
        <w:rPr>
          <w:sz w:val="22"/>
          <w:szCs w:val="22"/>
          <w:lang w:val="en-GB"/>
        </w:rPr>
        <w:t xml:space="preserve">. We analysed five broader causes of death: cardiovascular diseases </w:t>
      </w:r>
      <w:r w:rsidR="00EA6DAE">
        <w:rPr>
          <w:sz w:val="22"/>
          <w:szCs w:val="22"/>
          <w:lang w:val="en-GB"/>
        </w:rPr>
        <w:t xml:space="preserve">(CVD) </w:t>
      </w:r>
      <w:r w:rsidRPr="00D0139E">
        <w:rPr>
          <w:sz w:val="22"/>
          <w:szCs w:val="22"/>
          <w:lang w:val="en-GB"/>
        </w:rPr>
        <w:t xml:space="preserve">(I00–I99), cancer (C00–D48), respiratory diseases (J00–J06, J10–J18, J20–J22, J40–J47), other diseases (rest of A00–R99), and external causes </w:t>
      </w:r>
      <w:r w:rsidRPr="00D0139E">
        <w:rPr>
          <w:sz w:val="22"/>
          <w:szCs w:val="22"/>
          <w:lang w:val="en-GB"/>
        </w:rPr>
        <w:lastRenderedPageBreak/>
        <w:t>(V01–Y98). Specific causes of death were selected on the basis of their relative importance and a</w:t>
      </w:r>
      <w:r w:rsidR="00EA6DAE">
        <w:rPr>
          <w:sz w:val="22"/>
          <w:szCs w:val="22"/>
          <w:lang w:val="en-GB"/>
        </w:rPr>
        <w:t> </w:t>
      </w:r>
      <w:r w:rsidRPr="00D0139E">
        <w:rPr>
          <w:sz w:val="22"/>
          <w:szCs w:val="22"/>
          <w:lang w:val="en-GB"/>
        </w:rPr>
        <w:t>sufficient number of deaths</w:t>
      </w:r>
      <w:r>
        <w:rPr>
          <w:sz w:val="22"/>
          <w:szCs w:val="22"/>
          <w:lang w:val="en-GB"/>
        </w:rPr>
        <w:t>: isch</w:t>
      </w:r>
      <w:r w:rsidRPr="00D0139E">
        <w:rPr>
          <w:sz w:val="22"/>
          <w:szCs w:val="22"/>
          <w:lang w:val="en-GB"/>
        </w:rPr>
        <w:t xml:space="preserve">emic heart disease </w:t>
      </w:r>
      <w:r w:rsidR="00EA6DAE">
        <w:rPr>
          <w:sz w:val="22"/>
          <w:szCs w:val="22"/>
          <w:lang w:val="en-GB"/>
        </w:rPr>
        <w:t xml:space="preserve">(IHD) </w:t>
      </w:r>
      <w:r w:rsidRPr="00D0139E">
        <w:rPr>
          <w:sz w:val="22"/>
          <w:szCs w:val="22"/>
          <w:lang w:val="en-GB"/>
        </w:rPr>
        <w:t>(I2</w:t>
      </w:r>
      <w:r>
        <w:rPr>
          <w:sz w:val="22"/>
          <w:szCs w:val="22"/>
          <w:lang w:val="en-GB"/>
        </w:rPr>
        <w:t>0–I25), cerebrovascular disease</w:t>
      </w:r>
      <w:r w:rsidRPr="00D0139E">
        <w:rPr>
          <w:sz w:val="22"/>
          <w:szCs w:val="22"/>
          <w:lang w:val="en-GB"/>
        </w:rPr>
        <w:t xml:space="preserve"> (I60–I69), other cardiovascular diseases (rest of I00–I99), colorectal cancer (C18–C21), lung cancer (C33–C34), female breast cancer (C50), prostate cancer (C61), and other neoplasms (rest of C00–D48).  </w:t>
      </w:r>
    </w:p>
    <w:p w:rsidR="000742A8" w:rsidRPr="00D0139E" w:rsidRDefault="000742A8" w:rsidP="0072035F">
      <w:pPr>
        <w:spacing w:line="360" w:lineRule="auto"/>
        <w:rPr>
          <w:b/>
          <w:i/>
          <w:sz w:val="22"/>
          <w:szCs w:val="22"/>
          <w:lang w:val="en-GB"/>
        </w:rPr>
      </w:pPr>
    </w:p>
    <w:p w:rsidR="000742A8" w:rsidRPr="00D0139E" w:rsidRDefault="000742A8" w:rsidP="0072035F">
      <w:pPr>
        <w:spacing w:line="360" w:lineRule="auto"/>
        <w:rPr>
          <w:b/>
          <w:i/>
          <w:sz w:val="22"/>
          <w:szCs w:val="22"/>
          <w:lang w:val="en-GB"/>
        </w:rPr>
      </w:pPr>
      <w:r w:rsidRPr="00D0139E">
        <w:rPr>
          <w:b/>
          <w:i/>
          <w:sz w:val="22"/>
          <w:szCs w:val="22"/>
          <w:lang w:val="en-GB"/>
        </w:rPr>
        <w:t>Statistical analysis</w:t>
      </w:r>
    </w:p>
    <w:p w:rsidR="000742A8" w:rsidRPr="00D0139E" w:rsidRDefault="000742A8" w:rsidP="0072035F">
      <w:pPr>
        <w:spacing w:line="360" w:lineRule="auto"/>
        <w:jc w:val="both"/>
        <w:rPr>
          <w:sz w:val="22"/>
          <w:szCs w:val="22"/>
          <w:lang w:val="en-GB"/>
        </w:rPr>
      </w:pPr>
      <w:r w:rsidRPr="00D0139E">
        <w:rPr>
          <w:sz w:val="22"/>
          <w:szCs w:val="22"/>
          <w:lang w:val="en-GB"/>
        </w:rPr>
        <w:t xml:space="preserve">The statistical analyses were restricted to the ages between 30 and 79 years because education gradually loses its discriminatory power as a measure of socioeconomic status among the elderly, and because cause-specific analyses become more difficult due to the increasing number of multiple causes of death at older age. All analyses were conducted separately for men and women using the statistical package STATA version 11.0. Individuals with unknown educational level were excluded from the analysis (1.6%). After the exclusion of persons who did not fulfil our criteria, the dataset includes 332,869 individuals (164,507 men; 168,362 women), and 9,875 deaths (6,079 men; 3,796 women) in 1,802,289 person-years (889,511 men; 912,778 women). </w:t>
      </w:r>
      <w:r>
        <w:rPr>
          <w:sz w:val="22"/>
          <w:szCs w:val="22"/>
          <w:lang w:val="en-GB"/>
        </w:rPr>
        <w:t xml:space="preserve">More detailed characteristics of the dataset can be obtained from </w:t>
      </w:r>
      <w:r w:rsidR="00DC558C">
        <w:rPr>
          <w:sz w:val="22"/>
          <w:szCs w:val="22"/>
          <w:lang w:val="en-GB"/>
        </w:rPr>
        <w:t>the electronic supplementary material (</w:t>
      </w:r>
      <w:r w:rsidR="00D33224">
        <w:rPr>
          <w:sz w:val="22"/>
          <w:szCs w:val="22"/>
          <w:lang w:val="en-GB"/>
        </w:rPr>
        <w:t xml:space="preserve">Supplementary table </w:t>
      </w:r>
      <w:r>
        <w:rPr>
          <w:sz w:val="22"/>
          <w:szCs w:val="22"/>
          <w:lang w:val="en-GB"/>
        </w:rPr>
        <w:t>1</w:t>
      </w:r>
      <w:r w:rsidR="00DC558C">
        <w:rPr>
          <w:sz w:val="22"/>
          <w:szCs w:val="22"/>
          <w:lang w:val="en-GB"/>
        </w:rPr>
        <w:t>)</w:t>
      </w:r>
      <w:r>
        <w:rPr>
          <w:sz w:val="22"/>
          <w:szCs w:val="22"/>
          <w:lang w:val="en-GB"/>
        </w:rPr>
        <w:t xml:space="preserve">. </w:t>
      </w:r>
      <w:r w:rsidRPr="00D0139E">
        <w:rPr>
          <w:sz w:val="22"/>
          <w:szCs w:val="22"/>
          <w:lang w:val="en-GB"/>
        </w:rPr>
        <w:t xml:space="preserve">This represents approximately 2% of the Dutch population, and about 1% of all deaths occurring in these six years. </w:t>
      </w: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As a measure of absolute inequality, we calculated age-standardized mortality rates </w:t>
      </w:r>
      <w:r>
        <w:rPr>
          <w:sz w:val="22"/>
          <w:szCs w:val="22"/>
          <w:lang w:val="en-GB"/>
        </w:rPr>
        <w:t xml:space="preserve">(ASMR) </w:t>
      </w:r>
      <w:r w:rsidRPr="00D0139E">
        <w:rPr>
          <w:sz w:val="22"/>
          <w:szCs w:val="22"/>
          <w:lang w:val="en-GB"/>
        </w:rPr>
        <w:t>by educational level by means of direct standardization using the European standard population. Relative inequalities were calculated using the Cox proportional hazard</w:t>
      </w:r>
      <w:r w:rsidR="00F30115">
        <w:rPr>
          <w:sz w:val="22"/>
          <w:szCs w:val="22"/>
          <w:lang w:val="en-GB"/>
        </w:rPr>
        <w:t>s</w:t>
      </w:r>
      <w:r w:rsidRPr="00D0139E">
        <w:rPr>
          <w:sz w:val="22"/>
          <w:szCs w:val="22"/>
          <w:lang w:val="en-GB"/>
        </w:rPr>
        <w:t xml:space="preserve"> model with cause-specific baseline hazard. We treated risks of dying of particular causes of death as independent and applied standard Cox proportional hazard</w:t>
      </w:r>
      <w:r w:rsidR="00F30115">
        <w:rPr>
          <w:sz w:val="22"/>
          <w:szCs w:val="22"/>
          <w:lang w:val="en-GB"/>
        </w:rPr>
        <w:t>s</w:t>
      </w:r>
      <w:r w:rsidRPr="00D0139E">
        <w:rPr>
          <w:sz w:val="22"/>
          <w:szCs w:val="22"/>
          <w:lang w:val="en-GB"/>
        </w:rPr>
        <w:t xml:space="preserve"> models without taking into account competing risks </w:t>
      </w:r>
      <w:r w:rsidRPr="00D0139E">
        <w:rPr>
          <w:noProof/>
          <w:sz w:val="22"/>
          <w:szCs w:val="22"/>
          <w:lang w:val="en-GB"/>
        </w:rPr>
        <w:t>(Cox 1972)</w:t>
      </w:r>
      <w:r w:rsidRPr="00D0139E">
        <w:rPr>
          <w:sz w:val="22"/>
          <w:szCs w:val="22"/>
          <w:lang w:val="en-GB"/>
        </w:rPr>
        <w:t xml:space="preserve">. </w:t>
      </w:r>
    </w:p>
    <w:p w:rsidR="000742A8" w:rsidRPr="00D0139E" w:rsidRDefault="000742A8" w:rsidP="0072035F">
      <w:pPr>
        <w:spacing w:line="360" w:lineRule="auto"/>
        <w:jc w:val="both"/>
        <w:rPr>
          <w:sz w:val="22"/>
          <w:szCs w:val="22"/>
          <w:lang w:val="en-GB"/>
        </w:rPr>
      </w:pPr>
      <w:r w:rsidRPr="00D0139E">
        <w:rPr>
          <w:position w:val="-32"/>
          <w:sz w:val="22"/>
          <w:szCs w:val="22"/>
          <w:lang w:val="en-GB"/>
        </w:rPr>
        <w:object w:dxaOrig="250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38.25pt" o:ole="">
            <v:imagedata r:id="rId11" o:title=""/>
          </v:shape>
          <o:OLEObject Type="Embed" ProgID="Equation.3" ShapeID="_x0000_i1025" DrawAspect="Content" ObjectID="_1473673254" r:id="rId12"/>
        </w:object>
      </w:r>
      <w:r w:rsidRPr="00D0139E">
        <w:rPr>
          <w:sz w:val="22"/>
          <w:szCs w:val="22"/>
          <w:lang w:val="en-GB"/>
        </w:rPr>
        <w:t>,</w:t>
      </w:r>
    </w:p>
    <w:p w:rsidR="000742A8" w:rsidRPr="00D0139E" w:rsidRDefault="000742A8" w:rsidP="0072035F">
      <w:pPr>
        <w:spacing w:line="360" w:lineRule="auto"/>
        <w:jc w:val="both"/>
        <w:rPr>
          <w:sz w:val="22"/>
          <w:szCs w:val="22"/>
          <w:lang w:val="en-GB"/>
        </w:rPr>
      </w:pPr>
      <w:r w:rsidRPr="00D0139E">
        <w:rPr>
          <w:sz w:val="22"/>
          <w:szCs w:val="22"/>
          <w:lang w:val="en-GB"/>
        </w:rPr>
        <w:t xml:space="preserve">where </w:t>
      </w:r>
      <w:r w:rsidRPr="00D0139E">
        <w:rPr>
          <w:i/>
          <w:sz w:val="22"/>
          <w:szCs w:val="22"/>
          <w:lang w:val="en-GB"/>
        </w:rPr>
        <w:t>h(t)</w:t>
      </w:r>
      <w:r w:rsidRPr="00D0139E">
        <w:rPr>
          <w:sz w:val="22"/>
          <w:szCs w:val="22"/>
          <w:lang w:val="en-GB"/>
        </w:rPr>
        <w:t xml:space="preserve"> is the expected hazard at time </w:t>
      </w:r>
      <w:r w:rsidRPr="00D0139E">
        <w:rPr>
          <w:i/>
          <w:sz w:val="22"/>
          <w:szCs w:val="22"/>
          <w:lang w:val="en-GB"/>
        </w:rPr>
        <w:t>t</w:t>
      </w:r>
      <w:r w:rsidRPr="00D0139E">
        <w:rPr>
          <w:sz w:val="22"/>
          <w:szCs w:val="22"/>
          <w:lang w:val="en-GB"/>
        </w:rPr>
        <w:t xml:space="preserve">, </w:t>
      </w:r>
      <w:r w:rsidRPr="00D0139E">
        <w:rPr>
          <w:i/>
          <w:sz w:val="22"/>
          <w:szCs w:val="22"/>
          <w:lang w:val="en-GB"/>
        </w:rPr>
        <w:t>h</w:t>
      </w:r>
      <w:r w:rsidRPr="00D0139E">
        <w:rPr>
          <w:i/>
          <w:sz w:val="22"/>
          <w:szCs w:val="22"/>
          <w:vertAlign w:val="subscript"/>
          <w:lang w:val="en-GB"/>
        </w:rPr>
        <w:t>0</w:t>
      </w:r>
      <w:r w:rsidRPr="00D0139E">
        <w:rPr>
          <w:i/>
          <w:sz w:val="22"/>
          <w:szCs w:val="22"/>
          <w:lang w:val="en-GB"/>
        </w:rPr>
        <w:t>(t)</w:t>
      </w:r>
      <w:r w:rsidRPr="00D0139E">
        <w:rPr>
          <w:sz w:val="22"/>
          <w:szCs w:val="22"/>
          <w:lang w:val="en-GB"/>
        </w:rPr>
        <w:t xml:space="preserve"> is the baseline hazard, </w:t>
      </w:r>
      <w:r w:rsidRPr="00D0139E">
        <w:rPr>
          <w:i/>
          <w:sz w:val="22"/>
          <w:szCs w:val="22"/>
          <w:lang w:val="en-GB"/>
        </w:rPr>
        <w:t>β</w:t>
      </w:r>
      <w:r w:rsidRPr="00D0139E">
        <w:rPr>
          <w:sz w:val="22"/>
          <w:szCs w:val="22"/>
          <w:lang w:val="en-GB"/>
        </w:rPr>
        <w:t xml:space="preserve"> is the regression coefficient of an explanatory variable </w:t>
      </w:r>
      <w:r w:rsidRPr="00D0139E">
        <w:rPr>
          <w:i/>
          <w:sz w:val="22"/>
          <w:szCs w:val="22"/>
          <w:lang w:val="en-GB"/>
        </w:rPr>
        <w:t>x</w:t>
      </w:r>
      <w:r w:rsidRPr="00D0139E">
        <w:rPr>
          <w:sz w:val="22"/>
          <w:szCs w:val="22"/>
          <w:lang w:val="en-GB"/>
        </w:rPr>
        <w:t xml:space="preserve"> and </w:t>
      </w:r>
      <w:r w:rsidRPr="00D0139E">
        <w:rPr>
          <w:i/>
          <w:sz w:val="22"/>
          <w:szCs w:val="22"/>
          <w:lang w:val="en-GB"/>
        </w:rPr>
        <w:t>k</w:t>
      </w:r>
      <w:r w:rsidRPr="00D0139E">
        <w:rPr>
          <w:sz w:val="22"/>
          <w:szCs w:val="22"/>
          <w:lang w:val="en-GB"/>
        </w:rPr>
        <w:t xml:space="preserve"> is the number of the explanatory variables. Age was used as time variable. The cause-specific hazard rates are assumed to be proportional translating to covariate effects that are constant over time. </w:t>
      </w: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As a summary measure, we calculated population attributable fractions (PAF) and partial life expectancies between ages 30 and 79 years according to educational level. The PAF quantifies the proportion of all deaths in the population that would not occur if everyone had the mortality of the high educated </w:t>
      </w:r>
      <w:r w:rsidRPr="00D0139E">
        <w:rPr>
          <w:noProof/>
          <w:sz w:val="22"/>
          <w:szCs w:val="22"/>
          <w:lang w:val="en-GB"/>
        </w:rPr>
        <w:t>(Murray et al. 2003)</w:t>
      </w:r>
      <w:r w:rsidRPr="00D0139E">
        <w:rPr>
          <w:sz w:val="22"/>
          <w:szCs w:val="22"/>
          <w:lang w:val="en-GB"/>
        </w:rPr>
        <w:t xml:space="preserve">. </w:t>
      </w:r>
    </w:p>
    <w:p w:rsidR="000742A8" w:rsidRPr="00D0139E" w:rsidRDefault="000742A8" w:rsidP="0072035F">
      <w:pPr>
        <w:spacing w:line="360" w:lineRule="auto"/>
        <w:jc w:val="both"/>
        <w:rPr>
          <w:sz w:val="22"/>
          <w:szCs w:val="22"/>
          <w:lang w:val="en-GB"/>
        </w:rPr>
      </w:pPr>
      <w:r w:rsidRPr="00D0139E">
        <w:rPr>
          <w:position w:val="-60"/>
          <w:sz w:val="22"/>
          <w:szCs w:val="22"/>
          <w:lang w:val="en-GB"/>
        </w:rPr>
        <w:object w:dxaOrig="2460" w:dyaOrig="1320">
          <v:shape id="_x0000_i1026" type="#_x0000_t75" style="width:123pt;height:66.75pt" o:ole="">
            <v:imagedata r:id="rId13" o:title=""/>
          </v:shape>
          <o:OLEObject Type="Embed" ProgID="Equation.3" ShapeID="_x0000_i1026" DrawAspect="Content" ObjectID="_1473673255" r:id="rId14"/>
        </w:object>
      </w:r>
    </w:p>
    <w:p w:rsidR="000742A8" w:rsidRPr="00D0139E" w:rsidRDefault="000742A8" w:rsidP="0072035F">
      <w:pPr>
        <w:spacing w:line="360" w:lineRule="auto"/>
        <w:jc w:val="both"/>
        <w:rPr>
          <w:sz w:val="22"/>
          <w:szCs w:val="22"/>
          <w:lang w:val="en-GB"/>
        </w:rPr>
      </w:pPr>
      <w:r w:rsidRPr="00D0139E">
        <w:rPr>
          <w:sz w:val="22"/>
          <w:szCs w:val="22"/>
          <w:lang w:val="en-GB"/>
        </w:rPr>
        <w:lastRenderedPageBreak/>
        <w:t xml:space="preserve">where </w:t>
      </w:r>
      <w:r w:rsidRPr="00D0139E">
        <w:rPr>
          <w:i/>
          <w:sz w:val="22"/>
          <w:szCs w:val="22"/>
          <w:lang w:val="en-GB"/>
        </w:rPr>
        <w:t>P</w:t>
      </w:r>
      <w:r w:rsidRPr="00D0139E">
        <w:rPr>
          <w:i/>
          <w:sz w:val="22"/>
          <w:szCs w:val="22"/>
          <w:vertAlign w:val="subscript"/>
          <w:lang w:val="en-GB"/>
        </w:rPr>
        <w:t>i</w:t>
      </w:r>
      <w:r w:rsidRPr="00D0139E">
        <w:rPr>
          <w:i/>
          <w:sz w:val="22"/>
          <w:szCs w:val="22"/>
          <w:lang w:val="en-GB"/>
        </w:rPr>
        <w:t xml:space="preserve"> </w:t>
      </w:r>
      <w:r w:rsidRPr="00D0139E">
        <w:rPr>
          <w:sz w:val="22"/>
          <w:szCs w:val="22"/>
          <w:lang w:val="en-GB"/>
        </w:rPr>
        <w:t xml:space="preserve">is the prevalence and </w:t>
      </w:r>
      <w:r w:rsidRPr="00D0139E">
        <w:rPr>
          <w:i/>
          <w:sz w:val="22"/>
          <w:szCs w:val="22"/>
          <w:lang w:val="en-GB"/>
        </w:rPr>
        <w:t>RR</w:t>
      </w:r>
      <w:r w:rsidRPr="00D0139E">
        <w:rPr>
          <w:i/>
          <w:sz w:val="22"/>
          <w:szCs w:val="22"/>
          <w:vertAlign w:val="subscript"/>
          <w:lang w:val="en-GB"/>
        </w:rPr>
        <w:t>i</w:t>
      </w:r>
      <w:r w:rsidRPr="00D0139E">
        <w:rPr>
          <w:i/>
          <w:sz w:val="22"/>
          <w:szCs w:val="22"/>
          <w:lang w:val="en-GB"/>
        </w:rPr>
        <w:t xml:space="preserve"> </w:t>
      </w:r>
      <w:r w:rsidRPr="00D0139E">
        <w:rPr>
          <w:sz w:val="22"/>
          <w:szCs w:val="22"/>
          <w:lang w:val="en-GB"/>
        </w:rPr>
        <w:t xml:space="preserve">is the relative risk of each educational level </w:t>
      </w:r>
      <w:r w:rsidRPr="00D0139E">
        <w:rPr>
          <w:i/>
          <w:sz w:val="22"/>
          <w:szCs w:val="22"/>
          <w:lang w:val="en-GB"/>
        </w:rPr>
        <w:t>i</w:t>
      </w:r>
      <w:r w:rsidRPr="00D0139E">
        <w:rPr>
          <w:sz w:val="22"/>
          <w:szCs w:val="22"/>
          <w:lang w:val="en-GB"/>
        </w:rPr>
        <w:t xml:space="preserve">. The partial life expectancies were calculated by the following formula proposed by Arriaga </w:t>
      </w:r>
      <w:r w:rsidRPr="00D0139E">
        <w:rPr>
          <w:noProof/>
          <w:sz w:val="22"/>
          <w:szCs w:val="22"/>
          <w:lang w:val="en-GB"/>
        </w:rPr>
        <w:t>(Arriaga 1984)</w:t>
      </w:r>
      <w:r w:rsidRPr="00D0139E">
        <w:rPr>
          <w:sz w:val="22"/>
          <w:szCs w:val="22"/>
          <w:lang w:val="en-GB"/>
        </w:rPr>
        <w:t xml:space="preserve"> using functions of the life tables. </w:t>
      </w:r>
    </w:p>
    <w:p w:rsidR="000742A8" w:rsidRPr="00D0139E" w:rsidRDefault="000742A8" w:rsidP="0072035F">
      <w:pPr>
        <w:spacing w:line="360" w:lineRule="auto"/>
        <w:jc w:val="both"/>
        <w:rPr>
          <w:sz w:val="22"/>
          <w:szCs w:val="22"/>
          <w:lang w:val="en-GB"/>
        </w:rPr>
      </w:pPr>
      <w:r w:rsidRPr="00D0139E">
        <w:rPr>
          <w:position w:val="-30"/>
          <w:sz w:val="22"/>
          <w:szCs w:val="22"/>
          <w:lang w:val="en-GB"/>
        </w:rPr>
        <w:object w:dxaOrig="1460" w:dyaOrig="700">
          <v:shape id="_x0000_i1027" type="#_x0000_t75" style="width:72.75pt;height:35.25pt" o:ole="">
            <v:imagedata r:id="rId15" o:title=""/>
          </v:shape>
          <o:OLEObject Type="Embed" ProgID="Equation.3" ShapeID="_x0000_i1027" DrawAspect="Content" ObjectID="_1473673256" r:id="rId16"/>
        </w:object>
      </w:r>
      <w:r w:rsidRPr="00D0139E">
        <w:rPr>
          <w:sz w:val="22"/>
          <w:szCs w:val="22"/>
          <w:lang w:val="en-GB"/>
        </w:rPr>
        <w:t>,</w:t>
      </w:r>
    </w:p>
    <w:p w:rsidR="000742A8" w:rsidRPr="00D0139E" w:rsidRDefault="000742A8" w:rsidP="0072035F">
      <w:pPr>
        <w:spacing w:line="360" w:lineRule="auto"/>
        <w:jc w:val="both"/>
        <w:rPr>
          <w:sz w:val="22"/>
          <w:szCs w:val="22"/>
          <w:lang w:val="en-GB"/>
        </w:rPr>
      </w:pPr>
      <w:r w:rsidRPr="00D0139E">
        <w:rPr>
          <w:sz w:val="22"/>
          <w:szCs w:val="22"/>
          <w:lang w:val="en-GB"/>
        </w:rPr>
        <w:t xml:space="preserve">where </w:t>
      </w:r>
      <w:proofErr w:type="spellStart"/>
      <w:r w:rsidRPr="00D0139E">
        <w:rPr>
          <w:i/>
          <w:sz w:val="22"/>
          <w:szCs w:val="22"/>
          <w:vertAlign w:val="subscript"/>
          <w:lang w:val="en-GB"/>
        </w:rPr>
        <w:t>i</w:t>
      </w:r>
      <w:r w:rsidRPr="00D0139E">
        <w:rPr>
          <w:i/>
          <w:sz w:val="22"/>
          <w:szCs w:val="22"/>
          <w:lang w:val="en-GB"/>
        </w:rPr>
        <w:t>e</w:t>
      </w:r>
      <w:r w:rsidRPr="00D0139E">
        <w:rPr>
          <w:i/>
          <w:sz w:val="22"/>
          <w:szCs w:val="22"/>
          <w:vertAlign w:val="subscript"/>
          <w:lang w:val="en-GB"/>
        </w:rPr>
        <w:t>x</w:t>
      </w:r>
      <w:proofErr w:type="spellEnd"/>
      <w:r w:rsidRPr="00D0139E">
        <w:rPr>
          <w:i/>
          <w:sz w:val="22"/>
          <w:szCs w:val="22"/>
          <w:vertAlign w:val="subscript"/>
          <w:lang w:val="en-GB"/>
        </w:rPr>
        <w:t xml:space="preserve"> </w:t>
      </w:r>
      <w:r w:rsidRPr="00D0139E">
        <w:rPr>
          <w:sz w:val="22"/>
          <w:szCs w:val="22"/>
          <w:lang w:val="en-GB"/>
        </w:rPr>
        <w:t xml:space="preserve">is the partial life expectancy between exact ages </w:t>
      </w:r>
      <w:r w:rsidRPr="00D0139E">
        <w:rPr>
          <w:i/>
          <w:sz w:val="22"/>
          <w:szCs w:val="22"/>
          <w:lang w:val="en-GB"/>
        </w:rPr>
        <w:t>x</w:t>
      </w:r>
      <w:r w:rsidRPr="00D0139E">
        <w:rPr>
          <w:sz w:val="22"/>
          <w:szCs w:val="22"/>
          <w:lang w:val="en-GB"/>
        </w:rPr>
        <w:t xml:space="preserve"> and </w:t>
      </w:r>
      <w:proofErr w:type="spellStart"/>
      <w:r w:rsidRPr="00D0139E">
        <w:rPr>
          <w:i/>
          <w:sz w:val="22"/>
          <w:szCs w:val="22"/>
          <w:lang w:val="en-GB"/>
        </w:rPr>
        <w:t>x+i</w:t>
      </w:r>
      <w:proofErr w:type="spellEnd"/>
      <w:r w:rsidRPr="00D0139E">
        <w:rPr>
          <w:sz w:val="22"/>
          <w:szCs w:val="22"/>
          <w:lang w:val="en-GB"/>
        </w:rPr>
        <w:t xml:space="preserve">, </w:t>
      </w:r>
      <w:proofErr w:type="spellStart"/>
      <w:r w:rsidRPr="00D0139E">
        <w:rPr>
          <w:i/>
          <w:sz w:val="22"/>
          <w:szCs w:val="22"/>
          <w:lang w:val="en-GB"/>
        </w:rPr>
        <w:t>T</w:t>
      </w:r>
      <w:r w:rsidRPr="00D0139E">
        <w:rPr>
          <w:i/>
          <w:sz w:val="22"/>
          <w:szCs w:val="22"/>
          <w:vertAlign w:val="subscript"/>
          <w:lang w:val="en-GB"/>
        </w:rPr>
        <w:t>x</w:t>
      </w:r>
      <w:proofErr w:type="spellEnd"/>
      <w:r w:rsidRPr="00D0139E">
        <w:rPr>
          <w:sz w:val="22"/>
          <w:szCs w:val="22"/>
          <w:lang w:val="en-GB"/>
        </w:rPr>
        <w:t xml:space="preserve"> and </w:t>
      </w:r>
      <w:proofErr w:type="spellStart"/>
      <w:r w:rsidRPr="00D0139E">
        <w:rPr>
          <w:i/>
          <w:sz w:val="22"/>
          <w:szCs w:val="22"/>
          <w:lang w:val="en-GB"/>
        </w:rPr>
        <w:t>T</w:t>
      </w:r>
      <w:r w:rsidRPr="00D0139E">
        <w:rPr>
          <w:i/>
          <w:sz w:val="22"/>
          <w:szCs w:val="22"/>
          <w:vertAlign w:val="subscript"/>
          <w:lang w:val="en-GB"/>
        </w:rPr>
        <w:t>x+i</w:t>
      </w:r>
      <w:proofErr w:type="spellEnd"/>
      <w:r w:rsidRPr="00D0139E">
        <w:rPr>
          <w:sz w:val="22"/>
          <w:szCs w:val="22"/>
          <w:vertAlign w:val="subscript"/>
          <w:lang w:val="en-GB"/>
        </w:rPr>
        <w:t xml:space="preserve"> </w:t>
      </w:r>
      <w:r w:rsidRPr="00D0139E">
        <w:rPr>
          <w:sz w:val="22"/>
          <w:szCs w:val="22"/>
          <w:lang w:val="en-GB"/>
        </w:rPr>
        <w:t xml:space="preserve">are the numbers of person-years lived after exact ages </w:t>
      </w:r>
      <w:r w:rsidRPr="00D0139E">
        <w:rPr>
          <w:i/>
          <w:sz w:val="22"/>
          <w:szCs w:val="22"/>
          <w:lang w:val="en-GB"/>
        </w:rPr>
        <w:t>x</w:t>
      </w:r>
      <w:r w:rsidRPr="00D0139E">
        <w:rPr>
          <w:sz w:val="22"/>
          <w:szCs w:val="22"/>
          <w:lang w:val="en-GB"/>
        </w:rPr>
        <w:t xml:space="preserve"> and </w:t>
      </w:r>
      <w:proofErr w:type="spellStart"/>
      <w:r w:rsidRPr="00D0139E">
        <w:rPr>
          <w:i/>
          <w:sz w:val="22"/>
          <w:szCs w:val="22"/>
          <w:lang w:val="en-GB"/>
        </w:rPr>
        <w:t>x+i</w:t>
      </w:r>
      <w:proofErr w:type="spellEnd"/>
      <w:r w:rsidRPr="00D0139E">
        <w:rPr>
          <w:sz w:val="22"/>
          <w:szCs w:val="22"/>
          <w:lang w:val="en-GB"/>
        </w:rPr>
        <w:t xml:space="preserve">, and </w:t>
      </w:r>
      <w:r w:rsidRPr="00D0139E">
        <w:rPr>
          <w:i/>
          <w:sz w:val="22"/>
          <w:szCs w:val="22"/>
          <w:lang w:val="en-GB"/>
        </w:rPr>
        <w:t>l</w:t>
      </w:r>
      <w:r w:rsidRPr="00D0139E">
        <w:rPr>
          <w:i/>
          <w:sz w:val="22"/>
          <w:szCs w:val="22"/>
          <w:vertAlign w:val="subscript"/>
          <w:lang w:val="en-GB"/>
        </w:rPr>
        <w:t>x</w:t>
      </w:r>
      <w:r w:rsidRPr="00D0139E">
        <w:rPr>
          <w:sz w:val="22"/>
          <w:szCs w:val="22"/>
          <w:vertAlign w:val="subscript"/>
          <w:lang w:val="en-GB"/>
        </w:rPr>
        <w:t xml:space="preserve"> </w:t>
      </w:r>
      <w:r w:rsidRPr="00D0139E">
        <w:rPr>
          <w:sz w:val="22"/>
          <w:szCs w:val="22"/>
          <w:lang w:val="en-GB"/>
        </w:rPr>
        <w:t xml:space="preserve">is the number of person-years surviving to the exact age </w:t>
      </w:r>
      <w:r w:rsidRPr="00D0139E">
        <w:rPr>
          <w:i/>
          <w:sz w:val="22"/>
          <w:szCs w:val="22"/>
          <w:lang w:val="en-GB"/>
        </w:rPr>
        <w:t>x</w:t>
      </w:r>
      <w:r w:rsidRPr="00D0139E">
        <w:rPr>
          <w:sz w:val="22"/>
          <w:szCs w:val="22"/>
          <w:lang w:val="en-GB"/>
        </w:rPr>
        <w:t xml:space="preserve">. We constructed abridged life tables for the exact ages between 30 and 79 years according to the standard life table technique </w:t>
      </w:r>
      <w:r w:rsidRPr="00D0139E">
        <w:rPr>
          <w:noProof/>
          <w:sz w:val="22"/>
          <w:szCs w:val="22"/>
          <w:lang w:val="en-GB"/>
        </w:rPr>
        <w:t>(Chiang 1984)</w:t>
      </w:r>
      <w:r w:rsidRPr="00D0139E">
        <w:rPr>
          <w:sz w:val="22"/>
          <w:szCs w:val="22"/>
          <w:lang w:val="en-GB"/>
        </w:rPr>
        <w:t xml:space="preserve"> using the age- and education-specific death rates. In addition, we applied the method of life expectancy decomposition </w:t>
      </w:r>
      <w:r w:rsidRPr="00D0139E">
        <w:rPr>
          <w:noProof/>
          <w:sz w:val="22"/>
          <w:szCs w:val="22"/>
          <w:lang w:val="en-GB"/>
        </w:rPr>
        <w:t>(Arriaga 1984)</w:t>
      </w:r>
      <w:r w:rsidRPr="00D0139E">
        <w:rPr>
          <w:sz w:val="22"/>
          <w:szCs w:val="22"/>
          <w:lang w:val="en-GB"/>
        </w:rPr>
        <w:t xml:space="preserve"> in order to obtain age- and cause-specific contributions to the difference in partial life expectancy between primary and tertiary educated individuals.  </w:t>
      </w:r>
    </w:p>
    <w:p w:rsidR="000742A8" w:rsidRPr="00D0139E" w:rsidRDefault="000742A8" w:rsidP="0072035F">
      <w:pPr>
        <w:spacing w:line="360" w:lineRule="auto"/>
        <w:jc w:val="both"/>
        <w:rPr>
          <w:b/>
          <w:i/>
          <w:sz w:val="22"/>
          <w:szCs w:val="22"/>
          <w:lang w:val="en-GB"/>
        </w:rPr>
      </w:pPr>
    </w:p>
    <w:p w:rsidR="000742A8" w:rsidRPr="00D0139E" w:rsidRDefault="000742A8" w:rsidP="0072035F">
      <w:pPr>
        <w:spacing w:line="360" w:lineRule="auto"/>
        <w:jc w:val="both"/>
        <w:rPr>
          <w:b/>
          <w:i/>
          <w:sz w:val="22"/>
          <w:szCs w:val="22"/>
          <w:lang w:val="en-GB"/>
        </w:rPr>
      </w:pPr>
      <w:r w:rsidRPr="00D0139E">
        <w:rPr>
          <w:b/>
          <w:i/>
          <w:sz w:val="22"/>
          <w:szCs w:val="22"/>
          <w:lang w:val="en-GB"/>
        </w:rPr>
        <w:t>Comparison with other European countries</w:t>
      </w:r>
    </w:p>
    <w:p w:rsidR="000742A8" w:rsidRPr="00D0139E" w:rsidRDefault="000742A8" w:rsidP="0072035F">
      <w:pPr>
        <w:spacing w:line="360" w:lineRule="auto"/>
        <w:jc w:val="both"/>
        <w:rPr>
          <w:sz w:val="22"/>
          <w:szCs w:val="22"/>
          <w:lang w:val="en-GB"/>
        </w:rPr>
      </w:pPr>
      <w:r w:rsidRPr="00D0139E">
        <w:rPr>
          <w:sz w:val="22"/>
          <w:szCs w:val="22"/>
          <w:lang w:val="en-GB"/>
        </w:rPr>
        <w:t xml:space="preserve">We compared absolute inequalities in mortality in the Netherlands with those in other European countries using data from the EURO-GBD-SE study </w:t>
      </w:r>
      <w:r w:rsidRPr="00D0139E">
        <w:rPr>
          <w:noProof/>
          <w:sz w:val="22"/>
          <w:szCs w:val="22"/>
          <w:lang w:val="en-GB"/>
        </w:rPr>
        <w:t>(Eikemo and Mackenbach 2012)</w:t>
      </w:r>
      <w:r w:rsidRPr="00D0139E">
        <w:rPr>
          <w:sz w:val="22"/>
          <w:szCs w:val="22"/>
          <w:lang w:val="en-GB"/>
        </w:rPr>
        <w:t xml:space="preserve">. In this study, cause-specific mortality </w:t>
      </w:r>
      <w:r>
        <w:rPr>
          <w:sz w:val="22"/>
          <w:szCs w:val="22"/>
          <w:lang w:val="en-GB"/>
        </w:rPr>
        <w:t xml:space="preserve">data by education </w:t>
      </w:r>
      <w:r w:rsidRPr="00D0139E">
        <w:rPr>
          <w:sz w:val="22"/>
          <w:szCs w:val="22"/>
          <w:lang w:val="en-GB"/>
        </w:rPr>
        <w:t>from 21 European populations were collected</w:t>
      </w:r>
      <w:r>
        <w:rPr>
          <w:sz w:val="22"/>
          <w:szCs w:val="22"/>
          <w:lang w:val="en-GB"/>
        </w:rPr>
        <w:t xml:space="preserve"> and h</w:t>
      </w:r>
      <w:r w:rsidRPr="00D0139E">
        <w:rPr>
          <w:sz w:val="22"/>
          <w:szCs w:val="22"/>
          <w:lang w:val="en-GB"/>
        </w:rPr>
        <w:t xml:space="preserve">armonized. </w:t>
      </w:r>
      <w:r>
        <w:rPr>
          <w:sz w:val="22"/>
          <w:szCs w:val="22"/>
          <w:lang w:val="en-GB"/>
        </w:rPr>
        <w:t xml:space="preserve">In this harmonization process we compared all variables available in the national studies, identified similarities and dissimilarities in their operationalization and constructed common variables that could be measured with the data available from different countries. We calculated ASMRs by sex, education and cause of death (total mortality, </w:t>
      </w:r>
      <w:r w:rsidR="00EA6DAE">
        <w:rPr>
          <w:sz w:val="22"/>
          <w:szCs w:val="22"/>
          <w:lang w:val="en-GB"/>
        </w:rPr>
        <w:t>CVD</w:t>
      </w:r>
      <w:r w:rsidR="00DC558C">
        <w:rPr>
          <w:sz w:val="22"/>
          <w:szCs w:val="22"/>
          <w:lang w:val="en-GB"/>
        </w:rPr>
        <w:t>, cancer and external ca</w:t>
      </w:r>
      <w:r>
        <w:rPr>
          <w:sz w:val="22"/>
          <w:szCs w:val="22"/>
          <w:lang w:val="en-GB"/>
        </w:rPr>
        <w:t>u</w:t>
      </w:r>
      <w:r w:rsidR="00DC558C">
        <w:rPr>
          <w:sz w:val="22"/>
          <w:szCs w:val="22"/>
          <w:lang w:val="en-GB"/>
        </w:rPr>
        <w:t>s</w:t>
      </w:r>
      <w:r>
        <w:rPr>
          <w:sz w:val="22"/>
          <w:szCs w:val="22"/>
          <w:lang w:val="en-GB"/>
        </w:rPr>
        <w:t xml:space="preserve">es) and rate differences between low and high educated for each country. Countries were grouped </w:t>
      </w:r>
      <w:r w:rsidRPr="00D0139E">
        <w:rPr>
          <w:sz w:val="22"/>
          <w:szCs w:val="22"/>
          <w:lang w:val="en-GB"/>
        </w:rPr>
        <w:t>by geographical region: North-West (Finland, Sweden, Norway, Denmark, England &amp; Wales, Belgium, France, Switzerland, Austria), South (Barcelona, Basque Country, Madri</w:t>
      </w:r>
      <w:r>
        <w:rPr>
          <w:sz w:val="22"/>
          <w:szCs w:val="22"/>
          <w:lang w:val="en-GB"/>
        </w:rPr>
        <w:t>d, Turin, Tuscany), and Central/</w:t>
      </w:r>
      <w:r w:rsidRPr="00D0139E">
        <w:rPr>
          <w:sz w:val="22"/>
          <w:szCs w:val="22"/>
          <w:lang w:val="en-GB"/>
        </w:rPr>
        <w:t xml:space="preserve">East (Hungary, Czech Republic, Poland, Estonia). For the sake of comparability across European countries, we grouped primary and lower secondary educated men and women together in all countries investigated.   </w:t>
      </w: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Pr="00D0139E" w:rsidRDefault="000742A8" w:rsidP="0072035F">
      <w:pPr>
        <w:spacing w:line="360" w:lineRule="auto"/>
        <w:jc w:val="both"/>
        <w:rPr>
          <w:b/>
          <w:sz w:val="22"/>
          <w:szCs w:val="22"/>
          <w:lang w:val="en-GB"/>
        </w:rPr>
      </w:pPr>
    </w:p>
    <w:p w:rsidR="000742A8" w:rsidRDefault="000742A8" w:rsidP="0072035F">
      <w:pPr>
        <w:spacing w:line="360" w:lineRule="auto"/>
        <w:jc w:val="both"/>
        <w:rPr>
          <w:b/>
          <w:sz w:val="22"/>
          <w:szCs w:val="22"/>
          <w:lang w:val="en-GB"/>
        </w:rPr>
        <w:sectPr w:rsidR="000742A8" w:rsidSect="0072035F">
          <w:pgSz w:w="11906" w:h="16838" w:code="9"/>
          <w:pgMar w:top="1418" w:right="1418" w:bottom="1418" w:left="1418" w:header="709" w:footer="709" w:gutter="0"/>
          <w:cols w:space="708"/>
          <w:docGrid w:linePitch="360"/>
        </w:sectPr>
      </w:pPr>
    </w:p>
    <w:p w:rsidR="000742A8" w:rsidRPr="00D0139E" w:rsidRDefault="000742A8" w:rsidP="0072035F">
      <w:pPr>
        <w:spacing w:line="360" w:lineRule="auto"/>
        <w:jc w:val="both"/>
        <w:rPr>
          <w:b/>
          <w:sz w:val="22"/>
          <w:szCs w:val="22"/>
          <w:lang w:val="en-GB"/>
        </w:rPr>
      </w:pPr>
      <w:r w:rsidRPr="00D0139E">
        <w:rPr>
          <w:b/>
          <w:sz w:val="22"/>
          <w:szCs w:val="22"/>
          <w:lang w:val="en-GB"/>
        </w:rPr>
        <w:lastRenderedPageBreak/>
        <w:t>RESULTS</w:t>
      </w:r>
    </w:p>
    <w:p w:rsidR="000742A8" w:rsidRPr="00D0139E" w:rsidRDefault="000742A8" w:rsidP="0072035F">
      <w:pPr>
        <w:spacing w:line="360" w:lineRule="auto"/>
        <w:jc w:val="both"/>
        <w:rPr>
          <w:sz w:val="22"/>
          <w:szCs w:val="22"/>
          <w:lang w:val="en-GB"/>
        </w:rPr>
      </w:pPr>
      <w:r w:rsidRPr="00D0139E">
        <w:rPr>
          <w:sz w:val="22"/>
          <w:szCs w:val="22"/>
          <w:lang w:val="en-GB"/>
        </w:rPr>
        <w:t xml:space="preserve">Relative inequalities in total mortality show a clear gradient of increasing mortality with decreasing level of education (Table 1). Primary educated men and women had a risk of dying twice as high as their tertiary educated counterparts. Mortality also decreased with increasing educational level for most causes of death, and in most cases the 95% confidence interval (CI) of the hazard ratio (HR) for the primary educated did not include 1. The main exceptions were colorectal and prostate cancer among men, and colorectal cancer, breast cancer and external causes of death among women, for which no clear educational differences in mortality were found. On the other hand, relative inequalities in mortality were very large for </w:t>
      </w:r>
      <w:r w:rsidR="00A473BF">
        <w:rPr>
          <w:sz w:val="22"/>
          <w:szCs w:val="22"/>
          <w:lang w:val="en-GB"/>
        </w:rPr>
        <w:t xml:space="preserve">respiratory diseases: the risk </w:t>
      </w:r>
      <w:r w:rsidRPr="00D0139E">
        <w:rPr>
          <w:sz w:val="22"/>
          <w:szCs w:val="22"/>
          <w:lang w:val="en-GB"/>
        </w:rPr>
        <w:t>of dying from respiratory diseases was about five times higher among primary educated men (HR</w:t>
      </w:r>
      <w:r w:rsidR="00A473BF">
        <w:rPr>
          <w:sz w:val="22"/>
          <w:szCs w:val="22"/>
          <w:lang w:val="en-GB"/>
        </w:rPr>
        <w:t xml:space="preserve"> </w:t>
      </w:r>
      <w:r w:rsidRPr="00D0139E">
        <w:rPr>
          <w:sz w:val="22"/>
          <w:szCs w:val="22"/>
          <w:lang w:val="en-GB"/>
        </w:rPr>
        <w:t>=</w:t>
      </w:r>
      <w:r w:rsidR="00A473BF">
        <w:rPr>
          <w:sz w:val="22"/>
          <w:szCs w:val="22"/>
          <w:lang w:val="en-GB"/>
        </w:rPr>
        <w:t xml:space="preserve"> </w:t>
      </w:r>
      <w:r w:rsidRPr="00D0139E">
        <w:rPr>
          <w:sz w:val="22"/>
          <w:szCs w:val="22"/>
          <w:lang w:val="en-GB"/>
        </w:rPr>
        <w:t>4.85; CI: 3.21–7.32) and women (HR</w:t>
      </w:r>
      <w:r w:rsidR="00A473BF">
        <w:rPr>
          <w:sz w:val="22"/>
          <w:szCs w:val="22"/>
          <w:lang w:val="en-GB"/>
        </w:rPr>
        <w:t xml:space="preserve"> </w:t>
      </w:r>
      <w:r w:rsidRPr="00D0139E">
        <w:rPr>
          <w:sz w:val="22"/>
          <w:szCs w:val="22"/>
          <w:lang w:val="en-GB"/>
        </w:rPr>
        <w:t>=</w:t>
      </w:r>
      <w:r w:rsidR="00A473BF">
        <w:rPr>
          <w:sz w:val="22"/>
          <w:szCs w:val="22"/>
          <w:lang w:val="en-GB"/>
        </w:rPr>
        <w:t xml:space="preserve"> </w:t>
      </w:r>
      <w:r w:rsidRPr="00D0139E">
        <w:rPr>
          <w:sz w:val="22"/>
          <w:szCs w:val="22"/>
          <w:lang w:val="en-GB"/>
        </w:rPr>
        <w:t xml:space="preserve">5.07; CI: 2.33–11.05) than among their tertiary educated counterparts. For </w:t>
      </w:r>
      <w:r w:rsidR="00A473BF">
        <w:rPr>
          <w:sz w:val="22"/>
          <w:szCs w:val="22"/>
          <w:lang w:val="en-GB"/>
        </w:rPr>
        <w:t>CVD</w:t>
      </w:r>
      <w:r w:rsidRPr="00D0139E">
        <w:rPr>
          <w:sz w:val="22"/>
          <w:szCs w:val="22"/>
          <w:lang w:val="en-GB"/>
        </w:rPr>
        <w:t xml:space="preserve"> and lung cancer relative inequalities were also large, both among men and women. </w:t>
      </w:r>
    </w:p>
    <w:p w:rsidR="000742A8" w:rsidRPr="00D0139E" w:rsidRDefault="000742A8" w:rsidP="0072035F">
      <w:pPr>
        <w:spacing w:line="360" w:lineRule="auto"/>
        <w:jc w:val="both"/>
        <w:rPr>
          <w:sz w:val="22"/>
          <w:szCs w:val="22"/>
          <w:lang w:val="en-GB"/>
        </w:rPr>
      </w:pPr>
    </w:p>
    <w:p w:rsidR="000742A8" w:rsidRPr="00D0139E" w:rsidRDefault="000742A8" w:rsidP="0072035F">
      <w:pPr>
        <w:spacing w:line="360" w:lineRule="auto"/>
        <w:jc w:val="center"/>
        <w:rPr>
          <w:sz w:val="22"/>
          <w:szCs w:val="22"/>
          <w:lang w:val="en-GB"/>
        </w:rPr>
      </w:pPr>
      <w:r w:rsidRPr="00D0139E">
        <w:rPr>
          <w:sz w:val="22"/>
          <w:szCs w:val="22"/>
          <w:lang w:val="en-GB"/>
        </w:rPr>
        <w:t>*** Table 1 about here ***</w:t>
      </w:r>
    </w:p>
    <w:p w:rsidR="000742A8" w:rsidRPr="00D0139E" w:rsidRDefault="000742A8" w:rsidP="0072035F">
      <w:pPr>
        <w:spacing w:line="360" w:lineRule="auto"/>
        <w:jc w:val="center"/>
        <w:rPr>
          <w:sz w:val="22"/>
          <w:szCs w:val="22"/>
          <w:lang w:val="en-GB"/>
        </w:rPr>
      </w:pP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Absolute inequalities in mortality are presented in Table 2. The absolute differences in </w:t>
      </w:r>
      <w:r>
        <w:rPr>
          <w:sz w:val="22"/>
          <w:szCs w:val="22"/>
          <w:lang w:val="en-GB"/>
        </w:rPr>
        <w:t xml:space="preserve">ASMR </w:t>
      </w:r>
      <w:r w:rsidRPr="00D0139E">
        <w:rPr>
          <w:sz w:val="22"/>
          <w:szCs w:val="22"/>
          <w:lang w:val="en-GB"/>
        </w:rPr>
        <w:t xml:space="preserve">between primary and tertiary educated were particularly large for </w:t>
      </w:r>
      <w:r w:rsidR="00A473BF">
        <w:rPr>
          <w:sz w:val="22"/>
          <w:szCs w:val="22"/>
          <w:lang w:val="en-GB"/>
        </w:rPr>
        <w:t>CVD</w:t>
      </w:r>
      <w:r w:rsidRPr="00D0139E">
        <w:rPr>
          <w:sz w:val="22"/>
          <w:szCs w:val="22"/>
          <w:lang w:val="en-GB"/>
        </w:rPr>
        <w:t xml:space="preserve"> and cancer among both men and women and for lung cancer among men. Although relative inequalities in mortality are higher among women than among men for many causes of death, such as </w:t>
      </w:r>
      <w:r w:rsidR="00A473BF">
        <w:rPr>
          <w:sz w:val="22"/>
          <w:szCs w:val="22"/>
          <w:lang w:val="en-GB"/>
        </w:rPr>
        <w:t>CVD</w:t>
      </w:r>
      <w:r w:rsidRPr="00D0139E">
        <w:rPr>
          <w:sz w:val="22"/>
          <w:szCs w:val="22"/>
          <w:lang w:val="en-GB"/>
        </w:rPr>
        <w:t xml:space="preserve">, </w:t>
      </w:r>
      <w:r w:rsidR="00A473BF">
        <w:rPr>
          <w:sz w:val="22"/>
          <w:szCs w:val="22"/>
          <w:lang w:val="en-GB"/>
        </w:rPr>
        <w:t>IHD</w:t>
      </w:r>
      <w:r w:rsidRPr="00D0139E">
        <w:rPr>
          <w:sz w:val="22"/>
          <w:szCs w:val="22"/>
          <w:lang w:val="en-GB"/>
        </w:rPr>
        <w:t xml:space="preserve"> and lung cancer (Table 1), absolute inequalities are usually lower among women. It is interesting to note that the </w:t>
      </w:r>
      <w:r>
        <w:rPr>
          <w:sz w:val="22"/>
          <w:szCs w:val="22"/>
          <w:lang w:val="en-GB"/>
        </w:rPr>
        <w:t xml:space="preserve">ASMR </w:t>
      </w:r>
      <w:r w:rsidRPr="00D0139E">
        <w:rPr>
          <w:sz w:val="22"/>
          <w:szCs w:val="22"/>
          <w:lang w:val="en-GB"/>
        </w:rPr>
        <w:t xml:space="preserve">of tertiary educated men (547.1 per 100,000 person-years) is in-between that of primary educated (663.4) and lower secondary educated women (455.2), and that mortality among primary educated men (1094.3) is more than three times higher than that among tertiary educated women (342.0). </w:t>
      </w: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Table 2 also presents the </w:t>
      </w:r>
      <w:r w:rsidR="001A54FF">
        <w:rPr>
          <w:sz w:val="22"/>
          <w:szCs w:val="22"/>
          <w:lang w:val="en-GB"/>
        </w:rPr>
        <w:t>PAFs</w:t>
      </w:r>
      <w:r w:rsidRPr="00D0139E">
        <w:rPr>
          <w:sz w:val="22"/>
          <w:szCs w:val="22"/>
          <w:lang w:val="en-GB"/>
        </w:rPr>
        <w:t xml:space="preserve">. These show that if all men and women in the Netherlands would have the </w:t>
      </w:r>
      <w:r>
        <w:rPr>
          <w:sz w:val="22"/>
          <w:szCs w:val="22"/>
          <w:lang w:val="en-GB"/>
        </w:rPr>
        <w:t xml:space="preserve">ASMR </w:t>
      </w:r>
      <w:r w:rsidRPr="00D0139E">
        <w:rPr>
          <w:sz w:val="22"/>
          <w:szCs w:val="22"/>
          <w:lang w:val="en-GB"/>
        </w:rPr>
        <w:t xml:space="preserve">of the tertiary educated, mortality in the population as a whole would decreased by </w:t>
      </w:r>
      <w:r w:rsidR="00A473BF">
        <w:rPr>
          <w:sz w:val="22"/>
          <w:szCs w:val="22"/>
          <w:lang w:val="en-GB"/>
        </w:rPr>
        <w:t>about</w:t>
      </w:r>
      <w:r w:rsidRPr="00D0139E">
        <w:rPr>
          <w:sz w:val="22"/>
          <w:szCs w:val="22"/>
          <w:lang w:val="en-GB"/>
        </w:rPr>
        <w:t xml:space="preserve"> a quarter (27.8% among men, 24.9% among women).</w:t>
      </w:r>
    </w:p>
    <w:p w:rsidR="000742A8" w:rsidRPr="00D0139E" w:rsidRDefault="000742A8" w:rsidP="0072035F">
      <w:pPr>
        <w:spacing w:line="360" w:lineRule="auto"/>
        <w:ind w:firstLine="284"/>
        <w:jc w:val="center"/>
        <w:rPr>
          <w:sz w:val="22"/>
          <w:szCs w:val="22"/>
          <w:lang w:val="en-GB"/>
        </w:rPr>
      </w:pPr>
    </w:p>
    <w:p w:rsidR="000742A8" w:rsidRPr="00D0139E" w:rsidRDefault="000742A8" w:rsidP="0072035F">
      <w:pPr>
        <w:spacing w:line="360" w:lineRule="auto"/>
        <w:ind w:firstLine="284"/>
        <w:jc w:val="center"/>
        <w:rPr>
          <w:sz w:val="22"/>
          <w:szCs w:val="22"/>
          <w:lang w:val="en-GB"/>
        </w:rPr>
      </w:pPr>
      <w:r w:rsidRPr="00D0139E">
        <w:rPr>
          <w:sz w:val="22"/>
          <w:szCs w:val="22"/>
          <w:lang w:val="en-GB"/>
        </w:rPr>
        <w:t>*** Table 2 about here ***</w:t>
      </w:r>
    </w:p>
    <w:p w:rsidR="000742A8" w:rsidRPr="00D0139E" w:rsidRDefault="000742A8" w:rsidP="0072035F">
      <w:pPr>
        <w:spacing w:line="360" w:lineRule="auto"/>
        <w:ind w:firstLine="284"/>
        <w:jc w:val="center"/>
        <w:rPr>
          <w:sz w:val="22"/>
          <w:szCs w:val="22"/>
          <w:lang w:val="en-GB"/>
        </w:rPr>
      </w:pPr>
    </w:p>
    <w:p w:rsidR="000742A8" w:rsidRPr="00D0139E" w:rsidRDefault="000742A8" w:rsidP="0072035F">
      <w:pPr>
        <w:spacing w:line="360" w:lineRule="auto"/>
        <w:ind w:firstLine="284"/>
        <w:jc w:val="both"/>
        <w:rPr>
          <w:sz w:val="22"/>
          <w:szCs w:val="22"/>
          <w:lang w:val="en-GB"/>
        </w:rPr>
      </w:pPr>
      <w:r w:rsidRPr="00D0139E">
        <w:rPr>
          <w:sz w:val="22"/>
          <w:szCs w:val="22"/>
          <w:lang w:val="en-GB"/>
        </w:rPr>
        <w:t>The results for partial life expectancy between ages 30 and 79 are in line with our findings on relative and absolute inequalities (Table 3). Tertiary educated men and women live longer than their less educated counterparts and women live longer than men regardless of education. Partial life expectancy was 42.8 years among primary and 46.2 years among tertiary educated men, giving a difference of 3.4 years. Among women, partial life expectancy was 45.1 years among primary and 47.5 years among tertiary educated, giving a difference of 2.4 years. The gap in partial life expectancy between men and women was 2.3 years among the primary educated, and only 1.3 years among the tertiary educated.</w:t>
      </w:r>
    </w:p>
    <w:p w:rsidR="000742A8" w:rsidRPr="00D0139E" w:rsidRDefault="000742A8" w:rsidP="0072035F">
      <w:pPr>
        <w:spacing w:line="360" w:lineRule="auto"/>
        <w:ind w:firstLine="284"/>
        <w:jc w:val="both"/>
        <w:rPr>
          <w:sz w:val="22"/>
          <w:szCs w:val="22"/>
          <w:lang w:val="en-GB"/>
        </w:rPr>
      </w:pPr>
    </w:p>
    <w:p w:rsidR="000742A8" w:rsidRPr="00D0139E" w:rsidRDefault="000742A8" w:rsidP="0072035F">
      <w:pPr>
        <w:spacing w:line="360" w:lineRule="auto"/>
        <w:ind w:firstLine="284"/>
        <w:jc w:val="center"/>
        <w:rPr>
          <w:sz w:val="22"/>
          <w:szCs w:val="22"/>
          <w:lang w:val="en-GB"/>
        </w:rPr>
      </w:pPr>
      <w:r w:rsidRPr="00D0139E">
        <w:rPr>
          <w:sz w:val="22"/>
          <w:szCs w:val="22"/>
          <w:lang w:val="en-GB"/>
        </w:rPr>
        <w:t>*** Table 3 about here ***</w:t>
      </w: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 </w:t>
      </w:r>
    </w:p>
    <w:p w:rsidR="000742A8" w:rsidRPr="00D0139E" w:rsidRDefault="000742A8" w:rsidP="0072035F">
      <w:pPr>
        <w:spacing w:line="360" w:lineRule="auto"/>
        <w:ind w:firstLine="284"/>
        <w:jc w:val="both"/>
        <w:rPr>
          <w:sz w:val="22"/>
          <w:szCs w:val="22"/>
          <w:lang w:val="en-GB"/>
        </w:rPr>
      </w:pPr>
      <w:r w:rsidRPr="00D0139E">
        <w:rPr>
          <w:sz w:val="22"/>
          <w:szCs w:val="22"/>
          <w:lang w:val="en-GB"/>
        </w:rPr>
        <w:t>The contribution of different causes of deaths to differences in partial life expectancy are presented in Fig</w:t>
      </w:r>
      <w:r w:rsidR="0056506C">
        <w:rPr>
          <w:sz w:val="22"/>
          <w:szCs w:val="22"/>
          <w:lang w:val="en-GB"/>
        </w:rPr>
        <w:t xml:space="preserve">. </w:t>
      </w:r>
      <w:r w:rsidRPr="00D0139E">
        <w:rPr>
          <w:sz w:val="22"/>
          <w:szCs w:val="22"/>
          <w:lang w:val="en-GB"/>
        </w:rPr>
        <w:t xml:space="preserve">1 and 2. In total, </w:t>
      </w:r>
      <w:r w:rsidR="00A473BF">
        <w:rPr>
          <w:sz w:val="22"/>
          <w:szCs w:val="22"/>
          <w:lang w:val="en-GB"/>
        </w:rPr>
        <w:t>CVD</w:t>
      </w:r>
      <w:r w:rsidRPr="00D0139E">
        <w:rPr>
          <w:sz w:val="22"/>
          <w:szCs w:val="22"/>
          <w:lang w:val="en-GB"/>
        </w:rPr>
        <w:t xml:space="preserve"> accounts for 35% and 37% of the difference in partial life expectancy among men and women, respectively. Cancer was a second major contributor accounting for 27% and 35% of the difference in partial life expectancy among men and women, with lung cancer making a particularly large contribution. Lung cancer accounts for 72% of the cancer contribution among men and 47% of the cancer contribution among women. We found a negative contribution of colorectal cancer to the difference in partial life expectancy among men, due to the reverse social gradient for this cause of death already noted in Table 1. Whereas </w:t>
      </w:r>
      <w:r w:rsidR="00A473BF">
        <w:rPr>
          <w:sz w:val="22"/>
          <w:szCs w:val="22"/>
          <w:lang w:val="en-GB"/>
        </w:rPr>
        <w:t>CVD</w:t>
      </w:r>
      <w:r w:rsidR="009F45A1">
        <w:rPr>
          <w:sz w:val="22"/>
          <w:szCs w:val="22"/>
          <w:lang w:val="en-GB"/>
        </w:rPr>
        <w:t xml:space="preserve">, in particular </w:t>
      </w:r>
      <w:r w:rsidR="00A473BF">
        <w:rPr>
          <w:sz w:val="22"/>
          <w:szCs w:val="22"/>
          <w:lang w:val="en-GB"/>
        </w:rPr>
        <w:t>IHD</w:t>
      </w:r>
      <w:r w:rsidRPr="00D0139E">
        <w:rPr>
          <w:sz w:val="22"/>
          <w:szCs w:val="22"/>
          <w:lang w:val="en-GB"/>
        </w:rPr>
        <w:t xml:space="preserve">, </w:t>
      </w:r>
      <w:r w:rsidR="00A473BF">
        <w:rPr>
          <w:sz w:val="22"/>
          <w:szCs w:val="22"/>
          <w:lang w:val="en-GB"/>
        </w:rPr>
        <w:t>is</w:t>
      </w:r>
      <w:r w:rsidRPr="00D0139E">
        <w:rPr>
          <w:sz w:val="22"/>
          <w:szCs w:val="22"/>
          <w:lang w:val="en-GB"/>
        </w:rPr>
        <w:t xml:space="preserve"> a major contributor to the excess mortality of primary educated at middle and older ages (50–74 years), external causes contribute importantly to the differences between primary and tertiary educated at younger ages (30–44 years), particularly among men. Among women, we found negative contributions of external causes and breast cancer across all age groups, and of lung cancer at older ages (70–79 years), due to a reverse gradient for the latter cause of death among older women (results not shown). </w:t>
      </w:r>
    </w:p>
    <w:p w:rsidR="000742A8" w:rsidRPr="00D0139E" w:rsidRDefault="000742A8" w:rsidP="0072035F">
      <w:pPr>
        <w:spacing w:line="360" w:lineRule="auto"/>
        <w:ind w:firstLine="284"/>
        <w:jc w:val="both"/>
        <w:rPr>
          <w:sz w:val="22"/>
          <w:szCs w:val="22"/>
          <w:lang w:val="en-GB"/>
        </w:rPr>
      </w:pPr>
    </w:p>
    <w:p w:rsidR="000742A8" w:rsidRPr="00D0139E" w:rsidRDefault="000742A8" w:rsidP="0072035F">
      <w:pPr>
        <w:spacing w:line="360" w:lineRule="auto"/>
        <w:ind w:firstLine="284"/>
        <w:jc w:val="center"/>
        <w:rPr>
          <w:sz w:val="22"/>
          <w:szCs w:val="22"/>
          <w:lang w:val="en-GB"/>
        </w:rPr>
      </w:pPr>
      <w:r w:rsidRPr="00D0139E">
        <w:rPr>
          <w:sz w:val="22"/>
          <w:szCs w:val="22"/>
          <w:lang w:val="en-GB"/>
        </w:rPr>
        <w:t>*** Figures 1 and 2 about here ***</w:t>
      </w:r>
    </w:p>
    <w:p w:rsidR="000742A8" w:rsidRPr="00D0139E" w:rsidRDefault="000742A8" w:rsidP="0072035F">
      <w:pPr>
        <w:spacing w:line="360" w:lineRule="auto"/>
        <w:ind w:firstLine="284"/>
        <w:jc w:val="both"/>
        <w:rPr>
          <w:sz w:val="22"/>
          <w:szCs w:val="22"/>
          <w:lang w:val="en-GB"/>
        </w:rPr>
      </w:pPr>
      <w:r w:rsidRPr="00D0139E">
        <w:rPr>
          <w:sz w:val="22"/>
          <w:szCs w:val="22"/>
          <w:lang w:val="en-GB"/>
        </w:rPr>
        <w:tab/>
      </w:r>
    </w:p>
    <w:p w:rsidR="000742A8" w:rsidRPr="00D0139E" w:rsidRDefault="000742A8" w:rsidP="0072035F">
      <w:pPr>
        <w:spacing w:line="360" w:lineRule="auto"/>
        <w:ind w:firstLine="284"/>
        <w:jc w:val="both"/>
        <w:rPr>
          <w:sz w:val="22"/>
          <w:szCs w:val="22"/>
          <w:lang w:val="en-GB"/>
        </w:rPr>
      </w:pPr>
      <w:r w:rsidRPr="00D0139E">
        <w:rPr>
          <w:sz w:val="22"/>
          <w:szCs w:val="22"/>
          <w:lang w:val="en-GB"/>
        </w:rPr>
        <w:t>Table 4 presents rate difference (per 100,000) between less than secondary and tertiary educ</w:t>
      </w:r>
      <w:r w:rsidR="00A473BF">
        <w:rPr>
          <w:sz w:val="22"/>
          <w:szCs w:val="22"/>
          <w:lang w:val="en-GB"/>
        </w:rPr>
        <w:t>ated men and women in all-cause</w:t>
      </w:r>
      <w:r w:rsidRPr="00D0139E">
        <w:rPr>
          <w:sz w:val="22"/>
          <w:szCs w:val="22"/>
          <w:lang w:val="en-GB"/>
        </w:rPr>
        <w:t xml:space="preserve">, </w:t>
      </w:r>
      <w:r w:rsidR="00A473BF">
        <w:rPr>
          <w:sz w:val="22"/>
          <w:szCs w:val="22"/>
          <w:lang w:val="en-GB"/>
        </w:rPr>
        <w:t>CVD</w:t>
      </w:r>
      <w:r w:rsidRPr="00D0139E">
        <w:rPr>
          <w:sz w:val="22"/>
          <w:szCs w:val="22"/>
          <w:lang w:val="en-GB"/>
        </w:rPr>
        <w:t xml:space="preserve"> and cancer mortality, and external causes across European ‘regimes’ compared with the Netherlands. The rate difference in all-cause mortality is 430 for men and 185 for women in the Netherlands. These estimates fall within the range of rate differ</w:t>
      </w:r>
      <w:r w:rsidR="001E456A">
        <w:rPr>
          <w:sz w:val="22"/>
          <w:szCs w:val="22"/>
          <w:lang w:val="en-GB"/>
        </w:rPr>
        <w:t>ences reported for other North-W</w:t>
      </w:r>
      <w:r w:rsidRPr="00D0139E">
        <w:rPr>
          <w:sz w:val="22"/>
          <w:szCs w:val="22"/>
          <w:lang w:val="en-GB"/>
        </w:rPr>
        <w:t xml:space="preserve">estern European countries. The rate difference for all-cause mortality in the Netherlands was higher than the maximum observed in Southern Europe (men: 325; women: 98) and much lower than the minimum found in Eastern Europe (men: 1158; women: 413). The same is true for mortality from </w:t>
      </w:r>
      <w:r w:rsidR="00A473BF">
        <w:rPr>
          <w:sz w:val="22"/>
          <w:szCs w:val="22"/>
          <w:lang w:val="en-GB"/>
        </w:rPr>
        <w:t>CVD</w:t>
      </w:r>
      <w:r w:rsidRPr="00D0139E">
        <w:rPr>
          <w:sz w:val="22"/>
          <w:szCs w:val="22"/>
          <w:lang w:val="en-GB"/>
        </w:rPr>
        <w:t xml:space="preserve">, cancer and external causes (men only).  </w:t>
      </w:r>
    </w:p>
    <w:p w:rsidR="000742A8" w:rsidRPr="00D0139E" w:rsidRDefault="000742A8" w:rsidP="0072035F">
      <w:pPr>
        <w:spacing w:line="360" w:lineRule="auto"/>
        <w:ind w:firstLine="284"/>
        <w:jc w:val="both"/>
        <w:rPr>
          <w:sz w:val="22"/>
          <w:szCs w:val="22"/>
          <w:highlight w:val="yellow"/>
          <w:lang w:val="en-GB"/>
        </w:rPr>
      </w:pPr>
    </w:p>
    <w:p w:rsidR="000742A8" w:rsidRPr="00D0139E" w:rsidRDefault="000742A8" w:rsidP="0072035F">
      <w:pPr>
        <w:spacing w:line="360" w:lineRule="auto"/>
        <w:ind w:firstLine="284"/>
        <w:jc w:val="center"/>
        <w:rPr>
          <w:sz w:val="22"/>
          <w:szCs w:val="22"/>
          <w:lang w:val="en-GB"/>
        </w:rPr>
      </w:pPr>
      <w:r w:rsidRPr="00D0139E">
        <w:rPr>
          <w:sz w:val="22"/>
          <w:szCs w:val="22"/>
          <w:lang w:val="en-GB"/>
        </w:rPr>
        <w:t>*** Table 4 about here ***</w:t>
      </w:r>
    </w:p>
    <w:p w:rsidR="000742A8" w:rsidRPr="00D0139E" w:rsidRDefault="000742A8" w:rsidP="0072035F">
      <w:pPr>
        <w:spacing w:line="360" w:lineRule="auto"/>
        <w:ind w:firstLine="284"/>
        <w:jc w:val="both"/>
        <w:rPr>
          <w:sz w:val="22"/>
          <w:szCs w:val="22"/>
          <w:highlight w:val="yellow"/>
          <w:lang w:val="en-GB"/>
        </w:rPr>
      </w:pPr>
    </w:p>
    <w:p w:rsidR="000742A8" w:rsidRPr="00D0139E" w:rsidRDefault="000742A8" w:rsidP="0072035F">
      <w:pPr>
        <w:spacing w:line="360" w:lineRule="auto"/>
        <w:ind w:firstLine="284"/>
        <w:jc w:val="both"/>
        <w:rPr>
          <w:sz w:val="22"/>
          <w:szCs w:val="22"/>
          <w:highlight w:val="yellow"/>
          <w:lang w:val="en-GB"/>
        </w:rPr>
      </w:pPr>
    </w:p>
    <w:p w:rsidR="000742A8" w:rsidRPr="00D0139E" w:rsidRDefault="000742A8" w:rsidP="0072035F">
      <w:pPr>
        <w:spacing w:line="360" w:lineRule="auto"/>
        <w:ind w:firstLine="284"/>
        <w:jc w:val="both"/>
        <w:rPr>
          <w:sz w:val="22"/>
          <w:szCs w:val="22"/>
          <w:highlight w:val="yellow"/>
          <w:lang w:val="en-GB"/>
        </w:rPr>
      </w:pPr>
    </w:p>
    <w:p w:rsidR="000742A8" w:rsidRPr="00D0139E" w:rsidRDefault="000742A8" w:rsidP="0072035F">
      <w:pPr>
        <w:spacing w:line="360" w:lineRule="auto"/>
        <w:ind w:firstLine="284"/>
        <w:jc w:val="both"/>
        <w:rPr>
          <w:sz w:val="22"/>
          <w:szCs w:val="22"/>
          <w:highlight w:val="yellow"/>
          <w:lang w:val="en-GB"/>
        </w:rPr>
      </w:pPr>
    </w:p>
    <w:p w:rsidR="000742A8" w:rsidRPr="00D0139E" w:rsidRDefault="000742A8" w:rsidP="0072035F">
      <w:pPr>
        <w:spacing w:line="360" w:lineRule="auto"/>
        <w:ind w:firstLine="284"/>
        <w:jc w:val="both"/>
        <w:rPr>
          <w:sz w:val="22"/>
          <w:szCs w:val="22"/>
          <w:highlight w:val="yellow"/>
          <w:lang w:val="en-GB"/>
        </w:rPr>
      </w:pPr>
    </w:p>
    <w:p w:rsidR="00A473BF" w:rsidRDefault="00A473BF" w:rsidP="0072035F">
      <w:pPr>
        <w:spacing w:line="360" w:lineRule="auto"/>
        <w:rPr>
          <w:b/>
          <w:sz w:val="22"/>
          <w:szCs w:val="22"/>
          <w:lang w:val="en-GB"/>
        </w:rPr>
        <w:sectPr w:rsidR="00A473BF" w:rsidSect="0072035F">
          <w:pgSz w:w="11906" w:h="16838" w:code="9"/>
          <w:pgMar w:top="1418" w:right="1418" w:bottom="1418" w:left="1418" w:header="709" w:footer="709" w:gutter="0"/>
          <w:cols w:space="708"/>
          <w:docGrid w:linePitch="360"/>
        </w:sectPr>
      </w:pPr>
    </w:p>
    <w:p w:rsidR="000742A8" w:rsidRPr="00D0139E" w:rsidRDefault="000742A8" w:rsidP="0072035F">
      <w:pPr>
        <w:spacing w:line="360" w:lineRule="auto"/>
        <w:rPr>
          <w:b/>
          <w:sz w:val="22"/>
          <w:szCs w:val="22"/>
          <w:lang w:val="en-GB"/>
        </w:rPr>
      </w:pPr>
      <w:r w:rsidRPr="00D0139E">
        <w:rPr>
          <w:b/>
          <w:sz w:val="22"/>
          <w:szCs w:val="22"/>
          <w:lang w:val="en-GB"/>
        </w:rPr>
        <w:lastRenderedPageBreak/>
        <w:t>DISCUSSION</w:t>
      </w:r>
    </w:p>
    <w:p w:rsidR="000742A8" w:rsidRPr="00D0139E" w:rsidRDefault="000742A8" w:rsidP="0072035F">
      <w:pPr>
        <w:spacing w:line="360" w:lineRule="auto"/>
        <w:rPr>
          <w:b/>
          <w:i/>
          <w:sz w:val="22"/>
          <w:szCs w:val="22"/>
          <w:lang w:val="en-GB"/>
        </w:rPr>
      </w:pPr>
      <w:r w:rsidRPr="00D0139E">
        <w:rPr>
          <w:b/>
          <w:i/>
          <w:sz w:val="22"/>
          <w:szCs w:val="22"/>
          <w:lang w:val="en-GB"/>
        </w:rPr>
        <w:t>Summary of findings</w:t>
      </w:r>
    </w:p>
    <w:p w:rsidR="000742A8" w:rsidRPr="00D0139E" w:rsidRDefault="000742A8" w:rsidP="0072035F">
      <w:pPr>
        <w:spacing w:line="360" w:lineRule="auto"/>
        <w:jc w:val="both"/>
        <w:rPr>
          <w:sz w:val="22"/>
          <w:szCs w:val="22"/>
          <w:lang w:val="en-GB"/>
        </w:rPr>
      </w:pPr>
      <w:r w:rsidRPr="00D0139E">
        <w:rPr>
          <w:sz w:val="22"/>
          <w:szCs w:val="22"/>
          <w:lang w:val="en-GB"/>
        </w:rPr>
        <w:t xml:space="preserve">In the Netherlands, the relative risk of dying of those with primary education only, as compared to those with tertiary education, is 1.98 (95% CI: 1.81–2.15) among men, and 2.03 </w:t>
      </w:r>
      <w:r w:rsidRPr="00D0139E">
        <w:rPr>
          <w:sz w:val="22"/>
          <w:szCs w:val="22"/>
          <w:lang w:val="en-GB"/>
        </w:rPr>
        <w:tab/>
        <w:t>(95% CI: 1.79–2.30) among women, leading to a gap in partial life expectancy of 3.4 and 2.4 years among men and women, respectively. The magnitude of relative and absolute inequalities in mortality by education is similar to th</w:t>
      </w:r>
      <w:r w:rsidR="001E456A">
        <w:rPr>
          <w:sz w:val="22"/>
          <w:szCs w:val="22"/>
          <w:lang w:val="en-GB"/>
        </w:rPr>
        <w:t>at in other countries in North-W</w:t>
      </w:r>
      <w:r w:rsidRPr="00D0139E">
        <w:rPr>
          <w:sz w:val="22"/>
          <w:szCs w:val="22"/>
          <w:lang w:val="en-GB"/>
        </w:rPr>
        <w:t>estern Europe. Like in other European countries, educational inequalities in mortality in the Netherlands are mainly driven by</w:t>
      </w:r>
      <w:r w:rsidR="00117D7C">
        <w:rPr>
          <w:sz w:val="22"/>
          <w:szCs w:val="22"/>
          <w:lang w:val="en-GB"/>
        </w:rPr>
        <w:t xml:space="preserve"> CVD</w:t>
      </w:r>
      <w:r w:rsidRPr="00D0139E">
        <w:rPr>
          <w:sz w:val="22"/>
          <w:szCs w:val="22"/>
          <w:lang w:val="en-GB"/>
        </w:rPr>
        <w:t xml:space="preserve"> and cancer, but inequalities in lung cancer mortality are substantially larger in the Netherlands th</w:t>
      </w:r>
      <w:r w:rsidR="001B5804">
        <w:rPr>
          <w:sz w:val="22"/>
          <w:szCs w:val="22"/>
          <w:lang w:val="en-GB"/>
        </w:rPr>
        <w:t>an in other countries of North-W</w:t>
      </w:r>
      <w:r w:rsidRPr="00D0139E">
        <w:rPr>
          <w:sz w:val="22"/>
          <w:szCs w:val="22"/>
          <w:lang w:val="en-GB"/>
        </w:rPr>
        <w:t xml:space="preserve">estern Europe, particularly among men. No inequalities in mortality were found for colorectal cancer (men and women), prostate cancer (men), breast cancer (women), and external causes (women).  </w:t>
      </w:r>
    </w:p>
    <w:p w:rsidR="000742A8" w:rsidRPr="00D0139E" w:rsidRDefault="000742A8" w:rsidP="0072035F">
      <w:pPr>
        <w:spacing w:line="360" w:lineRule="auto"/>
        <w:rPr>
          <w:sz w:val="22"/>
          <w:szCs w:val="22"/>
          <w:lang w:val="en-GB"/>
        </w:rPr>
      </w:pPr>
    </w:p>
    <w:p w:rsidR="000742A8" w:rsidRPr="00D0139E" w:rsidRDefault="000742A8" w:rsidP="0072035F">
      <w:pPr>
        <w:spacing w:line="360" w:lineRule="auto"/>
        <w:rPr>
          <w:b/>
          <w:i/>
          <w:sz w:val="22"/>
          <w:szCs w:val="22"/>
          <w:lang w:val="en-GB"/>
        </w:rPr>
      </w:pPr>
      <w:r w:rsidRPr="00D0139E">
        <w:rPr>
          <w:b/>
          <w:i/>
          <w:sz w:val="22"/>
          <w:szCs w:val="22"/>
          <w:lang w:val="en-GB"/>
        </w:rPr>
        <w:t>Limitations</w:t>
      </w:r>
    </w:p>
    <w:p w:rsidR="000742A8" w:rsidRPr="00D0139E" w:rsidRDefault="000742A8" w:rsidP="0072035F">
      <w:pPr>
        <w:spacing w:line="360" w:lineRule="auto"/>
        <w:jc w:val="both"/>
        <w:rPr>
          <w:sz w:val="22"/>
          <w:szCs w:val="22"/>
          <w:lang w:val="en-GB"/>
        </w:rPr>
      </w:pPr>
      <w:r w:rsidRPr="00D0139E">
        <w:rPr>
          <w:sz w:val="22"/>
          <w:szCs w:val="22"/>
          <w:lang w:val="en-GB"/>
        </w:rPr>
        <w:t xml:space="preserve">This is the first nationally representative study of socioeconomic inequalities in mortality in the Netherlands, which has become feasible because Statistics Netherlands has created new facilities for linking databases, in this case, databases with socioeconomic information to databases on mortality and causes of death </w:t>
      </w:r>
      <w:r w:rsidRPr="00D0139E">
        <w:rPr>
          <w:noProof/>
          <w:sz w:val="22"/>
          <w:szCs w:val="22"/>
          <w:lang w:val="en-GB"/>
        </w:rPr>
        <w:t>(Bastiaans et al. 2006)</w:t>
      </w:r>
      <w:r w:rsidRPr="00D0139E">
        <w:rPr>
          <w:sz w:val="22"/>
          <w:szCs w:val="22"/>
          <w:lang w:val="en-GB"/>
        </w:rPr>
        <w:t>. However, because the Netherlands does not have a census, we had to rely on a large survey for information on the educational achievement of individuals. To a large extent, the validity of our findings depends on the representativeness of this survey. There are several potential pro</w:t>
      </w:r>
      <w:bookmarkStart w:id="0" w:name="_GoBack"/>
      <w:bookmarkEnd w:id="0"/>
      <w:r w:rsidRPr="00D0139E">
        <w:rPr>
          <w:sz w:val="22"/>
          <w:szCs w:val="22"/>
          <w:lang w:val="en-GB"/>
        </w:rPr>
        <w:t xml:space="preserve">blems. First, the institutionalized population is not included in the Dutch LFS, and because people living in institutions tend to have both a lower level of education </w:t>
      </w:r>
      <w:r w:rsidRPr="00D0139E">
        <w:rPr>
          <w:noProof/>
          <w:sz w:val="22"/>
          <w:szCs w:val="22"/>
          <w:lang w:val="en-GB"/>
        </w:rPr>
        <w:t>(den Draak 2010)</w:t>
      </w:r>
      <w:r w:rsidRPr="00D0139E">
        <w:rPr>
          <w:sz w:val="22"/>
          <w:szCs w:val="22"/>
          <w:lang w:val="en-GB"/>
        </w:rPr>
        <w:t xml:space="preserve"> and a higher risk of mortality this could have biased our results. We believe that this bias is likely to be small, because in the Netherlands the proportion of institutionalized people under the age 80 years is negligible </w:t>
      </w:r>
      <w:r w:rsidRPr="00D0139E">
        <w:rPr>
          <w:noProof/>
          <w:sz w:val="22"/>
          <w:szCs w:val="22"/>
          <w:lang w:val="en-GB"/>
        </w:rPr>
        <w:t>(den Draak 2010)</w:t>
      </w:r>
      <w:r w:rsidRPr="00D0139E">
        <w:rPr>
          <w:sz w:val="22"/>
          <w:szCs w:val="22"/>
          <w:lang w:val="en-GB"/>
        </w:rPr>
        <w:t xml:space="preserve"> and because we restricted the analysis to individuals aged 30–79 years.</w:t>
      </w:r>
    </w:p>
    <w:p w:rsidR="000742A8" w:rsidRPr="00D0139E" w:rsidRDefault="000742A8" w:rsidP="00A45DBE">
      <w:pPr>
        <w:spacing w:line="360" w:lineRule="auto"/>
        <w:ind w:firstLine="284"/>
        <w:jc w:val="both"/>
        <w:rPr>
          <w:sz w:val="22"/>
          <w:szCs w:val="22"/>
          <w:lang w:val="en-GB"/>
        </w:rPr>
      </w:pPr>
      <w:r w:rsidRPr="00D0139E">
        <w:rPr>
          <w:sz w:val="22"/>
          <w:szCs w:val="22"/>
          <w:lang w:val="en-GB"/>
        </w:rPr>
        <w:t>Another potential problem affecting the representativeness of our findings is the high non-response (40–45%) of the Dutch LFS</w:t>
      </w:r>
      <w:r>
        <w:rPr>
          <w:sz w:val="22"/>
          <w:szCs w:val="22"/>
          <w:lang w:val="en-GB"/>
        </w:rPr>
        <w:t xml:space="preserve">. A low response rate does not necessarily mean that our estimates of inequalities in mortality are biased. This will only be the case if the magnitude of relative and/or absolute inequalities in mortality differs between respondents and non-respondents. Studies of non-respondents to surveys have shown that these usually have higher rates of morbidity and mortality than respondents </w:t>
      </w:r>
      <w:r>
        <w:rPr>
          <w:noProof/>
          <w:sz w:val="22"/>
          <w:szCs w:val="22"/>
          <w:lang w:val="en-GB"/>
        </w:rPr>
        <w:t>(Ferrie et al. 2009)</w:t>
      </w:r>
      <w:r>
        <w:rPr>
          <w:sz w:val="22"/>
          <w:szCs w:val="22"/>
          <w:lang w:val="en-GB"/>
        </w:rPr>
        <w:t xml:space="preserve">. We also know </w:t>
      </w:r>
      <w:r w:rsidRPr="00D0139E">
        <w:rPr>
          <w:sz w:val="22"/>
          <w:szCs w:val="22"/>
          <w:lang w:val="en-GB"/>
        </w:rPr>
        <w:t>that the non-response rate</w:t>
      </w:r>
      <w:r>
        <w:rPr>
          <w:sz w:val="22"/>
          <w:szCs w:val="22"/>
          <w:lang w:val="en-GB"/>
        </w:rPr>
        <w:t xml:space="preserve"> in the Dutch LFS </w:t>
      </w:r>
      <w:r w:rsidRPr="00D0139E">
        <w:rPr>
          <w:sz w:val="22"/>
          <w:szCs w:val="22"/>
          <w:lang w:val="en-GB"/>
        </w:rPr>
        <w:t xml:space="preserve">is higher among lower educated men and women </w:t>
      </w:r>
      <w:r w:rsidRPr="00D0139E">
        <w:rPr>
          <w:noProof/>
          <w:sz w:val="22"/>
          <w:szCs w:val="22"/>
          <w:lang w:val="en-GB"/>
        </w:rPr>
        <w:t>(Visscher 1997)</w:t>
      </w:r>
      <w:r w:rsidRPr="00D0139E">
        <w:rPr>
          <w:sz w:val="22"/>
          <w:szCs w:val="22"/>
          <w:lang w:val="en-GB"/>
        </w:rPr>
        <w:t xml:space="preserve">. </w:t>
      </w:r>
      <w:r>
        <w:rPr>
          <w:sz w:val="22"/>
          <w:szCs w:val="22"/>
          <w:lang w:val="en-GB"/>
        </w:rPr>
        <w:t xml:space="preserve">However, whether the association between education and mortality differs between respondents and non-respondents is unknown. We think that our estimates of relative inequalities may well be unbiased, but because of the likely under-representation of people with health problems among respondents to the Dutch LFS we may have underestimate absolute inequalities in mortality. We therefore compared </w:t>
      </w:r>
      <w:r w:rsidRPr="00D0139E">
        <w:rPr>
          <w:sz w:val="22"/>
          <w:szCs w:val="22"/>
          <w:lang w:val="en-GB"/>
        </w:rPr>
        <w:t>the mortality rates observed in our study and those registered for the complete Dutch population by Statistics Netherlands</w:t>
      </w:r>
      <w:r>
        <w:rPr>
          <w:sz w:val="22"/>
          <w:szCs w:val="22"/>
          <w:lang w:val="en-GB"/>
        </w:rPr>
        <w:t xml:space="preserve">, and </w:t>
      </w:r>
      <w:r>
        <w:rPr>
          <w:sz w:val="22"/>
          <w:szCs w:val="22"/>
          <w:lang w:val="en-GB"/>
        </w:rPr>
        <w:lastRenderedPageBreak/>
        <w:t xml:space="preserve">found </w:t>
      </w:r>
      <w:r w:rsidRPr="00D0139E">
        <w:rPr>
          <w:sz w:val="22"/>
          <w:szCs w:val="22"/>
          <w:lang w:val="en-GB"/>
        </w:rPr>
        <w:t xml:space="preserve">that our study underestimates </w:t>
      </w:r>
      <w:r>
        <w:rPr>
          <w:sz w:val="22"/>
          <w:szCs w:val="22"/>
          <w:lang w:val="en-GB"/>
        </w:rPr>
        <w:t xml:space="preserve">average </w:t>
      </w:r>
      <w:r w:rsidRPr="00D0139E">
        <w:rPr>
          <w:sz w:val="22"/>
          <w:szCs w:val="22"/>
          <w:lang w:val="en-GB"/>
        </w:rPr>
        <w:t>mortality rates by approximately 12%. This implies that we may have underestimated absolute inequalities in mortality between educational groups, as presented in Tables 2 and 4, by a similar percentage. In a sensitivity analysis we have used this percentage to upwardly adjust the absolute inequalities in mortality in the Netherlands presented in Table 4. This brings the Dutch results closer to th</w:t>
      </w:r>
      <w:r>
        <w:rPr>
          <w:sz w:val="22"/>
          <w:szCs w:val="22"/>
          <w:lang w:val="en-GB"/>
        </w:rPr>
        <w:t>e middle of the range of North-W</w:t>
      </w:r>
      <w:r w:rsidRPr="00D0139E">
        <w:rPr>
          <w:sz w:val="22"/>
          <w:szCs w:val="22"/>
          <w:lang w:val="en-GB"/>
        </w:rPr>
        <w:t xml:space="preserve">estern European countries (results not shown), and shows that our substantive results are not seriously biased. Also, there is little reason to think that our estimates of relative inequalities in mortality are biased. </w:t>
      </w:r>
    </w:p>
    <w:p w:rsidR="000742A8" w:rsidRPr="00D0139E" w:rsidRDefault="000742A8" w:rsidP="00A45DBE">
      <w:pPr>
        <w:spacing w:line="360" w:lineRule="auto"/>
        <w:ind w:firstLine="284"/>
        <w:jc w:val="both"/>
        <w:rPr>
          <w:sz w:val="22"/>
          <w:szCs w:val="22"/>
          <w:lang w:val="en-GB"/>
        </w:rPr>
      </w:pPr>
      <w:r w:rsidRPr="00D0139E">
        <w:rPr>
          <w:sz w:val="22"/>
          <w:szCs w:val="22"/>
          <w:lang w:val="en-GB"/>
        </w:rPr>
        <w:t xml:space="preserve">We used education as an indicator of socioeconomic position, but a single indicator of socioeconomic status does not comprehensively portray the entire picture of health inequalities </w:t>
      </w:r>
      <w:r w:rsidRPr="00D0139E">
        <w:rPr>
          <w:noProof/>
          <w:sz w:val="22"/>
          <w:szCs w:val="22"/>
          <w:lang w:val="en-GB"/>
        </w:rPr>
        <w:t>(Lahelma et al. 2004)</w:t>
      </w:r>
      <w:r w:rsidRPr="00D0139E">
        <w:rPr>
          <w:sz w:val="22"/>
          <w:szCs w:val="22"/>
          <w:lang w:val="en-GB"/>
        </w:rPr>
        <w:t xml:space="preserve">. As mentioned above, education has several advantages compared to occupation and income </w:t>
      </w:r>
      <w:r>
        <w:rPr>
          <w:noProof/>
          <w:sz w:val="22"/>
          <w:szCs w:val="22"/>
          <w:lang w:val="en-GB"/>
        </w:rPr>
        <w:t>(Cutler and Lleras-Muney 2008; Lahelma et al. 2004)</w:t>
      </w:r>
      <w:r w:rsidRPr="00D0139E">
        <w:rPr>
          <w:sz w:val="22"/>
          <w:szCs w:val="22"/>
          <w:lang w:val="en-GB"/>
        </w:rPr>
        <w:t xml:space="preserve">, but although education is highly correlated with occupation and income, we cannot assume that the same results will be obtained with other indicators of socioeconomic position. </w:t>
      </w:r>
    </w:p>
    <w:p w:rsidR="000742A8" w:rsidRPr="00D0139E" w:rsidRDefault="000742A8" w:rsidP="00A45DBE">
      <w:pPr>
        <w:spacing w:line="360" w:lineRule="auto"/>
        <w:ind w:firstLine="284"/>
        <w:jc w:val="both"/>
        <w:rPr>
          <w:sz w:val="22"/>
          <w:szCs w:val="22"/>
          <w:lang w:val="en-GB"/>
        </w:rPr>
      </w:pPr>
      <w:r w:rsidRPr="00D0139E">
        <w:rPr>
          <w:sz w:val="22"/>
          <w:szCs w:val="22"/>
          <w:lang w:val="en-GB"/>
        </w:rPr>
        <w:t xml:space="preserve">Data on inequalities in cause-specific mortality might be biased if there are differences between educational groups in accuracy of diagnoses, certification of causes of death or coding of underlying cause of death. </w:t>
      </w:r>
      <w:proofErr w:type="spellStart"/>
      <w:r w:rsidRPr="00D0139E">
        <w:rPr>
          <w:sz w:val="22"/>
          <w:szCs w:val="22"/>
          <w:lang w:val="en-GB"/>
        </w:rPr>
        <w:t>Harteloh</w:t>
      </w:r>
      <w:proofErr w:type="spellEnd"/>
      <w:r w:rsidRPr="00D0139E">
        <w:rPr>
          <w:sz w:val="22"/>
          <w:szCs w:val="22"/>
          <w:lang w:val="en-GB"/>
        </w:rPr>
        <w:t xml:space="preserve"> and others studied the reliability of cause-of-death statistics in the Netherlands and found that for major causes of death such as cancer and heart diseases the reliability was higher than 90% </w:t>
      </w:r>
      <w:r w:rsidRPr="00D0139E">
        <w:rPr>
          <w:noProof/>
          <w:sz w:val="22"/>
          <w:szCs w:val="22"/>
          <w:lang w:val="en-GB"/>
        </w:rPr>
        <w:t>(Harteloh et al. 2010)</w:t>
      </w:r>
      <w:r w:rsidRPr="00D0139E">
        <w:rPr>
          <w:sz w:val="22"/>
          <w:szCs w:val="22"/>
          <w:lang w:val="en-GB"/>
        </w:rPr>
        <w:t xml:space="preserve">. International-comparative studies showed that the reliability of cause-of-death statistics in the Netherlands compares favourably with that in other countries </w:t>
      </w:r>
      <w:r w:rsidRPr="00D0139E">
        <w:rPr>
          <w:noProof/>
          <w:sz w:val="22"/>
          <w:szCs w:val="22"/>
          <w:lang w:val="en-GB"/>
        </w:rPr>
        <w:t>(Mackenbach et al. 1987)</w:t>
      </w:r>
      <w:r w:rsidRPr="00D0139E">
        <w:rPr>
          <w:sz w:val="22"/>
          <w:szCs w:val="22"/>
          <w:lang w:val="en-GB"/>
        </w:rPr>
        <w:t xml:space="preserve">. On the other hand, it is unknown, in the Netherlands as elsewhere, whether reliability of cause-of-death information differs between socioeconomic groups. </w:t>
      </w:r>
      <w:r>
        <w:rPr>
          <w:sz w:val="22"/>
          <w:szCs w:val="22"/>
          <w:lang w:val="en-GB"/>
        </w:rPr>
        <w:t>We therefore assessed whether there are differences in the proportion of ill-defined causes of death across educational categories (results not shown)</w:t>
      </w:r>
      <w:r w:rsidRPr="0074337A">
        <w:rPr>
          <w:sz w:val="22"/>
          <w:szCs w:val="22"/>
          <w:lang w:val="en-GB"/>
        </w:rPr>
        <w:t xml:space="preserve">. Although this proportion is higher in the Netherlands than in most other European countries, </w:t>
      </w:r>
      <w:r>
        <w:rPr>
          <w:sz w:val="22"/>
          <w:szCs w:val="22"/>
          <w:lang w:val="en-GB"/>
        </w:rPr>
        <w:t xml:space="preserve">we did not find </w:t>
      </w:r>
      <w:r w:rsidRPr="0074337A">
        <w:rPr>
          <w:sz w:val="22"/>
          <w:szCs w:val="22"/>
          <w:lang w:val="en-GB"/>
        </w:rPr>
        <w:t>statistically significant differences in the proportion of these causes of death</w:t>
      </w:r>
      <w:r>
        <w:rPr>
          <w:sz w:val="22"/>
          <w:szCs w:val="22"/>
          <w:lang w:val="en-GB"/>
        </w:rPr>
        <w:t xml:space="preserve"> among educational groups (p-value: men = 0.218; women = 0.597).</w:t>
      </w:r>
      <w:r w:rsidRPr="0074337A">
        <w:rPr>
          <w:sz w:val="22"/>
          <w:szCs w:val="22"/>
          <w:lang w:val="en-GB"/>
        </w:rPr>
        <w:t xml:space="preserve"> </w:t>
      </w:r>
    </w:p>
    <w:p w:rsidR="000742A8" w:rsidRPr="00D0139E" w:rsidRDefault="000742A8" w:rsidP="00A45DBE">
      <w:pPr>
        <w:spacing w:line="360" w:lineRule="auto"/>
        <w:jc w:val="both"/>
        <w:rPr>
          <w:b/>
          <w:i/>
          <w:sz w:val="22"/>
          <w:szCs w:val="22"/>
          <w:lang w:val="en-GB"/>
        </w:rPr>
      </w:pPr>
    </w:p>
    <w:p w:rsidR="000742A8" w:rsidRPr="00D0139E" w:rsidRDefault="000742A8" w:rsidP="00A45DBE">
      <w:pPr>
        <w:spacing w:line="360" w:lineRule="auto"/>
        <w:jc w:val="both"/>
        <w:rPr>
          <w:b/>
          <w:i/>
          <w:sz w:val="22"/>
          <w:szCs w:val="22"/>
          <w:lang w:val="en-GB"/>
        </w:rPr>
      </w:pPr>
      <w:r w:rsidRPr="00D0139E">
        <w:rPr>
          <w:b/>
          <w:i/>
          <w:sz w:val="22"/>
          <w:szCs w:val="22"/>
          <w:lang w:val="en-GB"/>
        </w:rPr>
        <w:t>Interpretation</w:t>
      </w:r>
    </w:p>
    <w:p w:rsidR="000742A8" w:rsidRPr="00D0139E" w:rsidRDefault="000742A8" w:rsidP="00A45DBE">
      <w:pPr>
        <w:spacing w:line="360" w:lineRule="auto"/>
        <w:jc w:val="both"/>
        <w:rPr>
          <w:sz w:val="22"/>
          <w:szCs w:val="22"/>
          <w:lang w:val="en-GB"/>
        </w:rPr>
      </w:pPr>
      <w:r w:rsidRPr="00D0139E">
        <w:rPr>
          <w:sz w:val="22"/>
          <w:szCs w:val="22"/>
          <w:lang w:val="en-GB"/>
        </w:rPr>
        <w:t xml:space="preserve">As noted in the introduction, an educational gradient in all-cause mortality has been reported from all European countries with available data. We show that this educational gradient can also be found in the Netherlands. The magnitude of educational inequalities in all-cause mortality in the Netherlands is comparable to that in other </w:t>
      </w:r>
      <w:r>
        <w:rPr>
          <w:sz w:val="22"/>
          <w:szCs w:val="22"/>
          <w:lang w:val="en-GB"/>
        </w:rPr>
        <w:t>North-W</w:t>
      </w:r>
      <w:r w:rsidRPr="00D0139E">
        <w:rPr>
          <w:sz w:val="22"/>
          <w:szCs w:val="22"/>
          <w:lang w:val="en-GB"/>
        </w:rPr>
        <w:t xml:space="preserve">estern European countries </w:t>
      </w:r>
      <w:r>
        <w:rPr>
          <w:noProof/>
          <w:sz w:val="22"/>
          <w:szCs w:val="22"/>
          <w:lang w:val="en-GB"/>
        </w:rPr>
        <w:t>(Mackenbach et al. 2008)</w:t>
      </w:r>
      <w:r w:rsidRPr="00D0139E">
        <w:rPr>
          <w:sz w:val="22"/>
          <w:szCs w:val="22"/>
          <w:lang w:val="en-GB"/>
        </w:rPr>
        <w:t xml:space="preserve">. Cause-specific patterns are also largely similar, both at the level of broad groups of causes of death (such as </w:t>
      </w:r>
      <w:r w:rsidR="00117D7C">
        <w:rPr>
          <w:sz w:val="22"/>
          <w:szCs w:val="22"/>
          <w:lang w:val="en-GB"/>
        </w:rPr>
        <w:t>CVD</w:t>
      </w:r>
      <w:r w:rsidRPr="00D0139E">
        <w:rPr>
          <w:sz w:val="22"/>
          <w:szCs w:val="22"/>
          <w:lang w:val="en-GB"/>
        </w:rPr>
        <w:t xml:space="preserve"> and cancer), and at the level of specific causes. Whereas breast cancer was reported to have a reverse educational gradient in most European countries except France, Finland and Barcelona </w:t>
      </w:r>
      <w:r>
        <w:rPr>
          <w:noProof/>
          <w:sz w:val="22"/>
          <w:szCs w:val="22"/>
          <w:lang w:val="en-GB"/>
        </w:rPr>
        <w:t>(Strand et al. 2007)</w:t>
      </w:r>
      <w:r w:rsidRPr="00D0139E">
        <w:rPr>
          <w:sz w:val="22"/>
          <w:szCs w:val="22"/>
          <w:lang w:val="en-GB"/>
        </w:rPr>
        <w:t xml:space="preserve">, we did not find statistically significant differences in breast cancer mortality between educational groups in the Netherlands. We found no differences by education in mortality from </w:t>
      </w:r>
      <w:r w:rsidRPr="00D0139E">
        <w:rPr>
          <w:sz w:val="22"/>
          <w:szCs w:val="22"/>
          <w:lang w:val="en-GB"/>
        </w:rPr>
        <w:lastRenderedPageBreak/>
        <w:t xml:space="preserve">external causes among women in the Netherlands, as has been found before for injuries for Norway, Switzerland, Turin and Barcelona </w:t>
      </w:r>
      <w:r w:rsidRPr="00D0139E">
        <w:rPr>
          <w:noProof/>
          <w:sz w:val="22"/>
          <w:szCs w:val="22"/>
          <w:lang w:val="en-GB"/>
        </w:rPr>
        <w:t>(Borrell et al. 2005)</w:t>
      </w:r>
      <w:r w:rsidRPr="00D0139E">
        <w:rPr>
          <w:sz w:val="22"/>
          <w:szCs w:val="22"/>
          <w:lang w:val="en-GB"/>
        </w:rPr>
        <w:t>.</w:t>
      </w:r>
    </w:p>
    <w:p w:rsidR="000742A8" w:rsidRPr="00D0139E" w:rsidRDefault="000742A8" w:rsidP="0072035F">
      <w:pPr>
        <w:spacing w:line="360" w:lineRule="auto"/>
        <w:ind w:firstLine="284"/>
        <w:jc w:val="both"/>
        <w:rPr>
          <w:sz w:val="22"/>
          <w:szCs w:val="22"/>
          <w:lang w:val="en-GB"/>
        </w:rPr>
      </w:pPr>
      <w:r w:rsidRPr="00D0139E">
        <w:rPr>
          <w:sz w:val="22"/>
          <w:szCs w:val="22"/>
          <w:lang w:val="en-GB"/>
        </w:rPr>
        <w:t>A cause of death for which we found larger inequalities in the Netherlands than elsewhere is lung cancer. Like other North</w:t>
      </w:r>
      <w:r>
        <w:rPr>
          <w:sz w:val="22"/>
          <w:szCs w:val="22"/>
          <w:lang w:val="en-GB"/>
        </w:rPr>
        <w:t>-W</w:t>
      </w:r>
      <w:r w:rsidRPr="00D0139E">
        <w:rPr>
          <w:sz w:val="22"/>
          <w:szCs w:val="22"/>
          <w:lang w:val="en-GB"/>
        </w:rPr>
        <w:t xml:space="preserve">estern European countries the Netherlands is in the fourth stage of the smoking epidemic </w:t>
      </w:r>
      <w:r w:rsidRPr="00D0139E">
        <w:rPr>
          <w:noProof/>
          <w:sz w:val="22"/>
          <w:szCs w:val="22"/>
          <w:lang w:val="en-GB"/>
        </w:rPr>
        <w:t>(Lopez et al. 1994)</w:t>
      </w:r>
      <w:r w:rsidRPr="00D0139E">
        <w:rPr>
          <w:sz w:val="22"/>
          <w:szCs w:val="22"/>
          <w:lang w:val="en-GB"/>
        </w:rPr>
        <w:t xml:space="preserve">, during which smoking increasingly becomes concentrated among those with lower socioeconomic positions </w:t>
      </w:r>
      <w:r w:rsidRPr="00D0139E">
        <w:rPr>
          <w:noProof/>
          <w:sz w:val="22"/>
          <w:szCs w:val="22"/>
          <w:lang w:val="en-GB"/>
        </w:rPr>
        <w:t>(Giskes et al. 2005)</w:t>
      </w:r>
      <w:r w:rsidRPr="00D0139E">
        <w:rPr>
          <w:sz w:val="22"/>
          <w:szCs w:val="22"/>
          <w:lang w:val="en-GB"/>
        </w:rPr>
        <w:t xml:space="preserve">. In earlier stages of the epidemic, smoking prevalence rates have reached very high values in the Netherlands, which has led to a relative stagnation of life expectancy during the 1980s and 1990s in both men and women </w:t>
      </w:r>
      <w:r w:rsidRPr="00D0139E">
        <w:rPr>
          <w:noProof/>
          <w:sz w:val="22"/>
          <w:szCs w:val="22"/>
          <w:lang w:val="en-GB"/>
        </w:rPr>
        <w:t>(Janssen et al. 2003)</w:t>
      </w:r>
      <w:r w:rsidRPr="00D0139E">
        <w:rPr>
          <w:sz w:val="22"/>
          <w:szCs w:val="22"/>
          <w:lang w:val="en-GB"/>
        </w:rPr>
        <w:t xml:space="preserve">, and which probably also explains the large contribution of lung cancer (20% men; 16% women) to inequalities in mortality in the Netherlands. </w:t>
      </w:r>
    </w:p>
    <w:p w:rsidR="000742A8" w:rsidRPr="00D0139E" w:rsidRDefault="000742A8" w:rsidP="0072035F">
      <w:pPr>
        <w:spacing w:line="360" w:lineRule="auto"/>
        <w:ind w:firstLine="284"/>
        <w:jc w:val="both"/>
        <w:rPr>
          <w:sz w:val="22"/>
          <w:szCs w:val="22"/>
          <w:lang w:val="en-GB"/>
        </w:rPr>
      </w:pPr>
      <w:r w:rsidRPr="00D0139E">
        <w:rPr>
          <w:sz w:val="22"/>
          <w:szCs w:val="22"/>
          <w:lang w:val="en-GB"/>
        </w:rPr>
        <w:t xml:space="preserve"> The Netherlands has a strong tradition of investigating inequalities in mortality, and there is therefore a lot of scientific evidence on the explanation of inequalities in mortality in this country. Studies have shown that people in lower educated groups have a higher prevalence of a less than good perceived general health, more chronic diseases, higher disability rates and higher risks of all-cause mortality compared to higher educated groups </w:t>
      </w:r>
      <w:r w:rsidRPr="00D0139E">
        <w:rPr>
          <w:noProof/>
          <w:sz w:val="22"/>
          <w:szCs w:val="22"/>
          <w:lang w:val="en-GB"/>
        </w:rPr>
        <w:t>(Mackenbach 1992; van Lenthe et al. 2004)</w:t>
      </w:r>
      <w:r w:rsidRPr="00D0139E">
        <w:rPr>
          <w:sz w:val="22"/>
          <w:szCs w:val="22"/>
          <w:lang w:val="en-GB"/>
        </w:rPr>
        <w:t xml:space="preserve">. A substantial part of the worse health observed among lower educated groups has been found to be attributable to unhealthy behaviours, such as smoking </w:t>
      </w:r>
      <w:r>
        <w:rPr>
          <w:noProof/>
          <w:sz w:val="22"/>
          <w:szCs w:val="22"/>
          <w:lang w:val="en-GB"/>
        </w:rPr>
        <w:t>(van Lenthe et al. 2004; van Oort et al. 2005)</w:t>
      </w:r>
      <w:r w:rsidRPr="00D0139E">
        <w:rPr>
          <w:sz w:val="22"/>
          <w:szCs w:val="22"/>
          <w:lang w:val="en-GB"/>
        </w:rPr>
        <w:t xml:space="preserve"> , physical inactivity </w:t>
      </w:r>
      <w:r>
        <w:rPr>
          <w:noProof/>
          <w:sz w:val="22"/>
          <w:szCs w:val="22"/>
          <w:lang w:val="en-GB"/>
        </w:rPr>
        <w:t>(Droomers et al. 1998; van Lenthe et al. 2004)</w:t>
      </w:r>
      <w:r w:rsidRPr="00D0139E">
        <w:rPr>
          <w:sz w:val="22"/>
          <w:szCs w:val="22"/>
          <w:lang w:val="en-GB"/>
        </w:rPr>
        <w:t xml:space="preserve"> or excessive alcohol consumption </w:t>
      </w:r>
      <w:r>
        <w:rPr>
          <w:noProof/>
          <w:sz w:val="22"/>
          <w:szCs w:val="22"/>
          <w:lang w:val="en-GB"/>
        </w:rPr>
        <w:t>(Droomers et al. 1999; van Lenthe et al. 2004)</w:t>
      </w:r>
      <w:r w:rsidRPr="00D0139E">
        <w:rPr>
          <w:sz w:val="22"/>
          <w:szCs w:val="22"/>
          <w:lang w:val="en-GB"/>
        </w:rPr>
        <w:t xml:space="preserve">. Material living conditions, working conditions, psychosocial stress and social support contribute to the educational inequalities as well </w:t>
      </w:r>
      <w:r>
        <w:rPr>
          <w:noProof/>
          <w:sz w:val="22"/>
          <w:szCs w:val="22"/>
          <w:lang w:val="en-GB"/>
        </w:rPr>
        <w:t>(Mackenbach 1992; van Oort et al. 2005)</w:t>
      </w:r>
      <w:r w:rsidRPr="00D0139E">
        <w:rPr>
          <w:sz w:val="22"/>
          <w:szCs w:val="22"/>
          <w:lang w:val="en-GB"/>
        </w:rPr>
        <w:t xml:space="preserve">. All this implies that the Netherlands is in a good position to start tackling the inequalities in mortality found in our study </w:t>
      </w:r>
      <w:r w:rsidRPr="00D0139E">
        <w:rPr>
          <w:noProof/>
          <w:sz w:val="22"/>
          <w:szCs w:val="22"/>
          <w:lang w:val="en-GB"/>
        </w:rPr>
        <w:t>(Mackenbach and Stronks 2002)</w:t>
      </w:r>
      <w:r w:rsidRPr="00D0139E">
        <w:rPr>
          <w:sz w:val="22"/>
          <w:szCs w:val="22"/>
          <w:lang w:val="en-GB"/>
        </w:rPr>
        <w:t>.</w:t>
      </w:r>
    </w:p>
    <w:p w:rsidR="000742A8" w:rsidRPr="00D0139E" w:rsidRDefault="000742A8" w:rsidP="0072035F">
      <w:pPr>
        <w:spacing w:line="360" w:lineRule="auto"/>
        <w:rPr>
          <w:sz w:val="22"/>
          <w:szCs w:val="22"/>
          <w:lang w:val="en-GB"/>
        </w:rPr>
      </w:pPr>
    </w:p>
    <w:p w:rsidR="000742A8" w:rsidRPr="00D0139E" w:rsidRDefault="000742A8" w:rsidP="0072035F">
      <w:pPr>
        <w:spacing w:line="360" w:lineRule="auto"/>
        <w:rPr>
          <w:i/>
          <w:sz w:val="22"/>
          <w:szCs w:val="22"/>
          <w:lang w:val="en-GB"/>
        </w:rPr>
      </w:pPr>
      <w:r w:rsidRPr="00D0139E">
        <w:rPr>
          <w:i/>
          <w:sz w:val="22"/>
          <w:szCs w:val="22"/>
          <w:lang w:val="en-GB"/>
        </w:rPr>
        <w:t>Conclusion</w:t>
      </w:r>
    </w:p>
    <w:p w:rsidR="000742A8" w:rsidRDefault="000742A8" w:rsidP="0072035F">
      <w:pPr>
        <w:pStyle w:val="Caption"/>
        <w:keepNext/>
        <w:spacing w:line="360" w:lineRule="auto"/>
        <w:jc w:val="both"/>
        <w:rPr>
          <w:b w:val="0"/>
          <w:sz w:val="22"/>
          <w:szCs w:val="22"/>
          <w:lang w:val="en-GB"/>
        </w:rPr>
      </w:pPr>
      <w:r>
        <w:rPr>
          <w:b w:val="0"/>
          <w:sz w:val="22"/>
          <w:szCs w:val="22"/>
          <w:lang w:val="en-GB"/>
        </w:rPr>
        <w:t xml:space="preserve">Cross-country comparisons of socioeconomic inequalities in mortality are an important source of information for understanding the mechanisms that generate these inequalities. The exploration of such mechanisms is essential for policy makers in order to develop effective policies and large-scale interventions to reduce the observed burden in morality due to educational disparities. We reported </w:t>
      </w:r>
      <w:r w:rsidRPr="00D0139E">
        <w:rPr>
          <w:b w:val="0"/>
          <w:sz w:val="22"/>
          <w:szCs w:val="22"/>
          <w:lang w:val="en-GB"/>
        </w:rPr>
        <w:t xml:space="preserve">large </w:t>
      </w:r>
      <w:r w:rsidR="001B5804">
        <w:rPr>
          <w:b w:val="0"/>
          <w:sz w:val="22"/>
          <w:szCs w:val="22"/>
          <w:lang w:val="en-GB"/>
        </w:rPr>
        <w:t>educational</w:t>
      </w:r>
      <w:r>
        <w:rPr>
          <w:b w:val="0"/>
          <w:sz w:val="22"/>
          <w:szCs w:val="22"/>
          <w:lang w:val="en-GB"/>
        </w:rPr>
        <w:t xml:space="preserve"> inequalities in mortality </w:t>
      </w:r>
      <w:r w:rsidRPr="00D0139E">
        <w:rPr>
          <w:b w:val="0"/>
          <w:sz w:val="22"/>
          <w:szCs w:val="22"/>
          <w:lang w:val="en-GB"/>
        </w:rPr>
        <w:t xml:space="preserve">in the Netherlands </w:t>
      </w:r>
      <w:r>
        <w:rPr>
          <w:b w:val="0"/>
          <w:sz w:val="22"/>
          <w:szCs w:val="22"/>
          <w:lang w:val="en-GB"/>
        </w:rPr>
        <w:t>and showed that their magnitude and cause-specific patterning are similar to those observed in other countries in North-W</w:t>
      </w:r>
      <w:r w:rsidRPr="00D0139E">
        <w:rPr>
          <w:b w:val="0"/>
          <w:sz w:val="22"/>
          <w:szCs w:val="22"/>
          <w:lang w:val="en-GB"/>
        </w:rPr>
        <w:t>estern Europe</w:t>
      </w:r>
      <w:r>
        <w:rPr>
          <w:b w:val="0"/>
          <w:sz w:val="22"/>
          <w:szCs w:val="22"/>
          <w:lang w:val="en-GB"/>
        </w:rPr>
        <w:t xml:space="preserve">. These </w:t>
      </w:r>
      <w:r w:rsidR="001B5804">
        <w:rPr>
          <w:b w:val="0"/>
          <w:sz w:val="22"/>
          <w:szCs w:val="22"/>
          <w:lang w:val="en-GB"/>
        </w:rPr>
        <w:t>educational</w:t>
      </w:r>
      <w:r>
        <w:rPr>
          <w:b w:val="0"/>
          <w:sz w:val="22"/>
          <w:szCs w:val="22"/>
          <w:lang w:val="en-GB"/>
        </w:rPr>
        <w:t xml:space="preserve"> inequalities in mortality in the Netherlands are partly driven by cause of death attributable to lifestyle-related risk factors such as smoking. These findings are important for the development of efficient health interventions and </w:t>
      </w:r>
      <w:r w:rsidRPr="00D0139E">
        <w:rPr>
          <w:b w:val="0"/>
          <w:sz w:val="22"/>
          <w:szCs w:val="22"/>
          <w:lang w:val="en-GB"/>
        </w:rPr>
        <w:t>require the urgent attention of policy makers.</w:t>
      </w:r>
    </w:p>
    <w:p w:rsidR="007E3401" w:rsidRDefault="007E3401" w:rsidP="007E3401">
      <w:pPr>
        <w:rPr>
          <w:lang w:val="en-GB"/>
        </w:rPr>
      </w:pPr>
    </w:p>
    <w:p w:rsidR="007E3401" w:rsidRDefault="007E3401" w:rsidP="007E3401">
      <w:pPr>
        <w:spacing w:line="360" w:lineRule="auto"/>
        <w:rPr>
          <w:b/>
          <w:sz w:val="22"/>
          <w:szCs w:val="22"/>
          <w:lang w:val="en-GB"/>
        </w:rPr>
        <w:sectPr w:rsidR="007E3401" w:rsidSect="0072035F">
          <w:pgSz w:w="11906" w:h="16838" w:code="9"/>
          <w:pgMar w:top="1418" w:right="1418" w:bottom="1418" w:left="1418" w:header="709" w:footer="709" w:gutter="0"/>
          <w:cols w:space="708"/>
          <w:docGrid w:linePitch="360"/>
        </w:sectPr>
      </w:pPr>
    </w:p>
    <w:p w:rsidR="007E3401" w:rsidRPr="00D0139E" w:rsidRDefault="007E3401" w:rsidP="007E3401">
      <w:pPr>
        <w:spacing w:line="360" w:lineRule="auto"/>
        <w:rPr>
          <w:lang w:val="en-GB"/>
        </w:rPr>
      </w:pPr>
      <w:r w:rsidRPr="00D0139E">
        <w:rPr>
          <w:b/>
          <w:sz w:val="22"/>
          <w:szCs w:val="22"/>
          <w:lang w:val="en-GB"/>
        </w:rPr>
        <w:lastRenderedPageBreak/>
        <w:t>Acknowledgements</w:t>
      </w:r>
    </w:p>
    <w:p w:rsidR="007E3401" w:rsidRPr="00D0139E" w:rsidRDefault="007E3401" w:rsidP="007E3401">
      <w:pPr>
        <w:spacing w:line="360" w:lineRule="auto"/>
        <w:jc w:val="both"/>
        <w:rPr>
          <w:sz w:val="22"/>
          <w:szCs w:val="22"/>
          <w:lang w:val="en-GB"/>
        </w:rPr>
      </w:pPr>
      <w:r>
        <w:rPr>
          <w:sz w:val="22"/>
          <w:szCs w:val="22"/>
          <w:lang w:val="en-GB"/>
        </w:rPr>
        <w:t xml:space="preserve">This study was financially supported by the European Commission </w:t>
      </w:r>
      <w:r w:rsidRPr="00D0139E">
        <w:rPr>
          <w:sz w:val="22"/>
          <w:szCs w:val="22"/>
          <w:lang w:val="en-GB"/>
        </w:rPr>
        <w:t>(</w:t>
      </w:r>
      <w:r>
        <w:rPr>
          <w:sz w:val="22"/>
          <w:szCs w:val="22"/>
          <w:lang w:val="en-GB"/>
        </w:rPr>
        <w:t xml:space="preserve">through the Public Health Programme, </w:t>
      </w:r>
      <w:r w:rsidRPr="00D0139E">
        <w:rPr>
          <w:sz w:val="22"/>
          <w:szCs w:val="22"/>
          <w:lang w:val="en-GB"/>
        </w:rPr>
        <w:t>grant number 20081309)</w:t>
      </w:r>
      <w:r>
        <w:rPr>
          <w:sz w:val="22"/>
          <w:szCs w:val="22"/>
          <w:lang w:val="en-GB"/>
        </w:rPr>
        <w:t>, by the Netherlands Organization for Health Research and Development</w:t>
      </w:r>
      <w:r w:rsidRPr="00D0139E">
        <w:rPr>
          <w:sz w:val="22"/>
          <w:szCs w:val="22"/>
          <w:lang w:val="en-GB"/>
        </w:rPr>
        <w:t xml:space="preserve"> (</w:t>
      </w:r>
      <w:proofErr w:type="spellStart"/>
      <w:r w:rsidRPr="00D0139E">
        <w:rPr>
          <w:sz w:val="22"/>
          <w:szCs w:val="22"/>
          <w:lang w:val="en-GB"/>
        </w:rPr>
        <w:t>Zo</w:t>
      </w:r>
      <w:r>
        <w:rPr>
          <w:sz w:val="22"/>
          <w:szCs w:val="22"/>
          <w:lang w:val="en-GB"/>
        </w:rPr>
        <w:t>nMw</w:t>
      </w:r>
      <w:proofErr w:type="spellEnd"/>
      <w:r>
        <w:rPr>
          <w:sz w:val="22"/>
          <w:szCs w:val="22"/>
          <w:lang w:val="en-GB"/>
        </w:rPr>
        <w:t xml:space="preserve">, project number 121020026) and by </w:t>
      </w:r>
      <w:proofErr w:type="spellStart"/>
      <w:r>
        <w:rPr>
          <w:sz w:val="22"/>
          <w:szCs w:val="22"/>
          <w:lang w:val="en-GB"/>
        </w:rPr>
        <w:t>Netspar</w:t>
      </w:r>
      <w:proofErr w:type="spellEnd"/>
      <w:r>
        <w:rPr>
          <w:sz w:val="22"/>
          <w:szCs w:val="22"/>
          <w:lang w:val="en-GB"/>
        </w:rPr>
        <w:t xml:space="preserve"> (in the framework of the project ‘Causes and consequences of rising life expectancy in the Netherlands’). </w:t>
      </w:r>
    </w:p>
    <w:p w:rsidR="007E3401" w:rsidRPr="007E3401" w:rsidRDefault="007E3401" w:rsidP="007E3401">
      <w:pPr>
        <w:rPr>
          <w:lang w:val="en-GB"/>
        </w:rPr>
      </w:pPr>
    </w:p>
    <w:p w:rsidR="000742A8" w:rsidRPr="00D0139E" w:rsidRDefault="000742A8" w:rsidP="0072035F">
      <w:pPr>
        <w:rPr>
          <w:lang w:val="en-GB"/>
        </w:rPr>
      </w:pPr>
    </w:p>
    <w:p w:rsidR="000742A8" w:rsidRPr="00D0139E" w:rsidRDefault="000742A8" w:rsidP="0072035F">
      <w:pPr>
        <w:rPr>
          <w:lang w:val="en-GB"/>
        </w:rPr>
      </w:pPr>
    </w:p>
    <w:p w:rsidR="000742A8" w:rsidRDefault="000742A8" w:rsidP="0072035F">
      <w:pPr>
        <w:spacing w:line="360" w:lineRule="auto"/>
        <w:rPr>
          <w:b/>
          <w:sz w:val="22"/>
          <w:szCs w:val="22"/>
          <w:lang w:val="en-GB"/>
        </w:rPr>
      </w:pPr>
    </w:p>
    <w:p w:rsidR="000742A8" w:rsidRDefault="000742A8" w:rsidP="0072035F">
      <w:pPr>
        <w:spacing w:line="360" w:lineRule="auto"/>
        <w:rPr>
          <w:b/>
          <w:sz w:val="22"/>
          <w:szCs w:val="22"/>
          <w:lang w:val="en-GB"/>
        </w:rPr>
      </w:pPr>
    </w:p>
    <w:p w:rsidR="000742A8" w:rsidRDefault="000742A8" w:rsidP="0072035F">
      <w:pPr>
        <w:spacing w:line="360" w:lineRule="auto"/>
        <w:rPr>
          <w:b/>
          <w:sz w:val="22"/>
          <w:szCs w:val="22"/>
          <w:lang w:val="en-GB"/>
        </w:rPr>
        <w:sectPr w:rsidR="000742A8" w:rsidSect="0072035F">
          <w:pgSz w:w="11906" w:h="16838" w:code="9"/>
          <w:pgMar w:top="1418" w:right="1418" w:bottom="1418" w:left="1418" w:header="709" w:footer="709" w:gutter="0"/>
          <w:cols w:space="708"/>
          <w:docGrid w:linePitch="360"/>
        </w:sectPr>
      </w:pPr>
    </w:p>
    <w:p w:rsidR="000742A8" w:rsidRPr="00851907" w:rsidRDefault="000742A8" w:rsidP="00A45DBE">
      <w:pPr>
        <w:spacing w:line="360" w:lineRule="auto"/>
        <w:jc w:val="both"/>
        <w:rPr>
          <w:b/>
          <w:sz w:val="22"/>
          <w:szCs w:val="22"/>
          <w:lang w:val="en-GB"/>
        </w:rPr>
      </w:pPr>
      <w:r w:rsidRPr="00851907">
        <w:rPr>
          <w:b/>
          <w:sz w:val="22"/>
          <w:szCs w:val="22"/>
          <w:lang w:val="en-GB"/>
        </w:rPr>
        <w:lastRenderedPageBreak/>
        <w:t>References</w:t>
      </w:r>
    </w:p>
    <w:p w:rsidR="000742A8" w:rsidRPr="00D60185" w:rsidRDefault="000742A8" w:rsidP="00A45DBE">
      <w:pPr>
        <w:spacing w:line="360" w:lineRule="auto"/>
        <w:ind w:left="720" w:hanging="720"/>
        <w:jc w:val="both"/>
        <w:rPr>
          <w:noProof/>
          <w:szCs w:val="22"/>
        </w:rPr>
      </w:pPr>
      <w:bookmarkStart w:id="1" w:name="_ENREF_1"/>
      <w:r w:rsidRPr="00D60185">
        <w:rPr>
          <w:noProof/>
          <w:szCs w:val="22"/>
          <w:lang w:val="en-GB"/>
        </w:rPr>
        <w:t xml:space="preserve">Arriaga EE (1984) Measuring and Explaining the Change in Life Expectancies. </w:t>
      </w:r>
      <w:r w:rsidR="008814FB">
        <w:rPr>
          <w:noProof/>
          <w:szCs w:val="22"/>
        </w:rPr>
        <w:t>Demography 21</w:t>
      </w:r>
      <w:r w:rsidRPr="00D60185">
        <w:rPr>
          <w:noProof/>
          <w:szCs w:val="22"/>
        </w:rPr>
        <w:t>:83-96 doi:10.2307/2061029</w:t>
      </w:r>
      <w:bookmarkEnd w:id="1"/>
    </w:p>
    <w:p w:rsidR="000742A8" w:rsidRPr="00D60185" w:rsidRDefault="000742A8" w:rsidP="00A45DBE">
      <w:pPr>
        <w:spacing w:line="360" w:lineRule="auto"/>
        <w:ind w:left="720" w:hanging="720"/>
        <w:jc w:val="both"/>
        <w:rPr>
          <w:noProof/>
          <w:szCs w:val="22"/>
        </w:rPr>
      </w:pPr>
      <w:bookmarkStart w:id="2" w:name="_ENREF_2"/>
      <w:r w:rsidRPr="00D60185">
        <w:rPr>
          <w:noProof/>
          <w:szCs w:val="22"/>
        </w:rPr>
        <w:t>Bastiaans F, Engberts L, Linder F (eds)</w:t>
      </w:r>
      <w:r w:rsidR="008814FB">
        <w:rPr>
          <w:noProof/>
          <w:szCs w:val="22"/>
        </w:rPr>
        <w:t xml:space="preserve"> </w:t>
      </w:r>
      <w:r w:rsidRPr="00D60185">
        <w:rPr>
          <w:noProof/>
          <w:szCs w:val="22"/>
        </w:rPr>
        <w:t>(2006) Sociale samenhang in beeld, het SSB nu en straks. [Social cohesion in focus, SSB now and later]. Centraal Bureau voor de Statistiek, Voorburg</w:t>
      </w:r>
      <w:bookmarkEnd w:id="2"/>
    </w:p>
    <w:p w:rsidR="000742A8" w:rsidRPr="00D60185" w:rsidRDefault="000742A8" w:rsidP="00A45DBE">
      <w:pPr>
        <w:spacing w:line="360" w:lineRule="auto"/>
        <w:ind w:left="720" w:hanging="720"/>
        <w:jc w:val="both"/>
        <w:rPr>
          <w:noProof/>
          <w:szCs w:val="22"/>
          <w:lang w:val="en-GB"/>
        </w:rPr>
      </w:pPr>
      <w:bookmarkStart w:id="3" w:name="_ENREF_3"/>
      <w:r w:rsidRPr="00D60185">
        <w:rPr>
          <w:noProof/>
          <w:szCs w:val="22"/>
          <w:lang w:val="en-GB"/>
        </w:rPr>
        <w:t>Borrell C, et al. (2005) Education level inequalities and transportation injury mortality in the middle aged and elderly in Euro</w:t>
      </w:r>
      <w:r w:rsidR="008814FB">
        <w:rPr>
          <w:noProof/>
          <w:szCs w:val="22"/>
          <w:lang w:val="en-GB"/>
        </w:rPr>
        <w:t>pean settings. Inj Prev 11</w:t>
      </w:r>
      <w:r w:rsidRPr="00D60185">
        <w:rPr>
          <w:noProof/>
          <w:szCs w:val="22"/>
          <w:lang w:val="en-GB"/>
        </w:rPr>
        <w:t>:138-42</w:t>
      </w:r>
      <w:r w:rsidR="008814FB">
        <w:rPr>
          <w:noProof/>
          <w:szCs w:val="22"/>
          <w:lang w:val="en-GB"/>
        </w:rPr>
        <w:t>. doi:</w:t>
      </w:r>
      <w:r w:rsidRPr="00D60185">
        <w:rPr>
          <w:noProof/>
          <w:szCs w:val="22"/>
          <w:lang w:val="en-GB"/>
        </w:rPr>
        <w:t>10.1136/ip.2004.006346</w:t>
      </w:r>
      <w:bookmarkEnd w:id="3"/>
    </w:p>
    <w:p w:rsidR="000742A8" w:rsidRPr="00D60185" w:rsidRDefault="000742A8" w:rsidP="00A45DBE">
      <w:pPr>
        <w:spacing w:line="360" w:lineRule="auto"/>
        <w:ind w:left="720" w:hanging="720"/>
        <w:jc w:val="both"/>
        <w:rPr>
          <w:noProof/>
          <w:szCs w:val="22"/>
          <w:lang w:val="en-GB"/>
        </w:rPr>
      </w:pPr>
      <w:bookmarkStart w:id="4" w:name="_ENREF_4"/>
      <w:r w:rsidRPr="00D60185">
        <w:rPr>
          <w:noProof/>
          <w:szCs w:val="22"/>
          <w:lang w:val="en-GB"/>
        </w:rPr>
        <w:t>Bosma H, van de Mheen H</w:t>
      </w:r>
      <w:r w:rsidR="00BB3282">
        <w:rPr>
          <w:noProof/>
          <w:szCs w:val="22"/>
          <w:lang w:val="en-GB"/>
        </w:rPr>
        <w:t>D</w:t>
      </w:r>
      <w:r w:rsidRPr="00D60185">
        <w:rPr>
          <w:noProof/>
          <w:szCs w:val="22"/>
          <w:lang w:val="en-GB"/>
        </w:rPr>
        <w:t>, Borsboom GJJM, Mackenbach JP (2001) Neighborhood Socioeconomic Status and All-Cause Mortality. Am J</w:t>
      </w:r>
      <w:r w:rsidR="00BB3282">
        <w:rPr>
          <w:noProof/>
          <w:szCs w:val="22"/>
          <w:lang w:val="en-GB"/>
        </w:rPr>
        <w:t xml:space="preserve"> </w:t>
      </w:r>
      <w:r w:rsidRPr="00D60185">
        <w:rPr>
          <w:noProof/>
          <w:szCs w:val="22"/>
          <w:lang w:val="en-GB"/>
        </w:rPr>
        <w:t>Epidemiol</w:t>
      </w:r>
      <w:r w:rsidR="00BB3282">
        <w:rPr>
          <w:noProof/>
          <w:szCs w:val="22"/>
          <w:lang w:val="en-GB"/>
        </w:rPr>
        <w:t xml:space="preserve"> 153</w:t>
      </w:r>
      <w:r w:rsidRPr="00D60185">
        <w:rPr>
          <w:noProof/>
          <w:szCs w:val="22"/>
          <w:lang w:val="en-GB"/>
        </w:rPr>
        <w:t>:363-371</w:t>
      </w:r>
      <w:r w:rsidR="00935127">
        <w:rPr>
          <w:noProof/>
          <w:szCs w:val="22"/>
          <w:lang w:val="en-GB"/>
        </w:rPr>
        <w:t>.</w:t>
      </w:r>
      <w:r w:rsidRPr="00D60185">
        <w:rPr>
          <w:noProof/>
          <w:szCs w:val="22"/>
          <w:lang w:val="en-GB"/>
        </w:rPr>
        <w:t xml:space="preserve"> doi:10.1093/aje/153.4.363</w:t>
      </w:r>
      <w:bookmarkEnd w:id="4"/>
    </w:p>
    <w:p w:rsidR="000742A8" w:rsidRPr="00D60185" w:rsidRDefault="000742A8" w:rsidP="00A45DBE">
      <w:pPr>
        <w:spacing w:line="360" w:lineRule="auto"/>
        <w:ind w:left="720" w:hanging="720"/>
        <w:jc w:val="both"/>
        <w:rPr>
          <w:noProof/>
          <w:szCs w:val="22"/>
          <w:lang w:val="en-GB"/>
        </w:rPr>
      </w:pPr>
      <w:bookmarkStart w:id="5" w:name="_ENREF_5"/>
      <w:r w:rsidRPr="00D60185">
        <w:rPr>
          <w:noProof/>
          <w:szCs w:val="22"/>
          <w:lang w:val="en-GB"/>
        </w:rPr>
        <w:t>Burger KN, Beulens JW, Boer JM, Spijkerman AM, van der A DL (2011) Dietary glycemic load and glycemic index and risk of coronary heart disease and stroke in Dutch men and women: the EPIC-MORGEN study. P</w:t>
      </w:r>
      <w:r w:rsidR="00935127">
        <w:rPr>
          <w:noProof/>
          <w:szCs w:val="22"/>
          <w:lang w:val="en-GB"/>
        </w:rPr>
        <w:t>LO</w:t>
      </w:r>
      <w:r w:rsidRPr="00D60185">
        <w:rPr>
          <w:noProof/>
          <w:szCs w:val="22"/>
          <w:lang w:val="en-GB"/>
        </w:rPr>
        <w:t xml:space="preserve">S </w:t>
      </w:r>
      <w:r w:rsidR="00935127">
        <w:rPr>
          <w:noProof/>
          <w:szCs w:val="22"/>
          <w:lang w:val="en-GB"/>
        </w:rPr>
        <w:t>ONE</w:t>
      </w:r>
      <w:r w:rsidR="00E221AA">
        <w:rPr>
          <w:noProof/>
          <w:szCs w:val="22"/>
          <w:lang w:val="en-GB"/>
        </w:rPr>
        <w:t xml:space="preserve"> 6</w:t>
      </w:r>
      <w:r w:rsidRPr="00D60185">
        <w:rPr>
          <w:noProof/>
          <w:szCs w:val="22"/>
          <w:lang w:val="en-GB"/>
        </w:rPr>
        <w:t xml:space="preserve">:e25955 </w:t>
      </w:r>
      <w:bookmarkEnd w:id="5"/>
    </w:p>
    <w:p w:rsidR="000742A8" w:rsidRPr="00D60185" w:rsidRDefault="000742A8" w:rsidP="00A45DBE">
      <w:pPr>
        <w:spacing w:line="360" w:lineRule="auto"/>
        <w:ind w:left="720" w:hanging="720"/>
        <w:jc w:val="both"/>
        <w:rPr>
          <w:noProof/>
          <w:szCs w:val="22"/>
          <w:lang w:val="en-GB"/>
        </w:rPr>
      </w:pPr>
      <w:bookmarkStart w:id="6" w:name="_ENREF_6"/>
      <w:r w:rsidRPr="00D60185">
        <w:rPr>
          <w:noProof/>
          <w:szCs w:val="22"/>
          <w:lang w:val="en-GB"/>
        </w:rPr>
        <w:t>Chiang CL (1984) The life table and its applications. Robert E. Krieger Publishing Company, Malabar, Florida</w:t>
      </w:r>
      <w:bookmarkEnd w:id="6"/>
    </w:p>
    <w:p w:rsidR="000742A8" w:rsidRPr="00D60185" w:rsidRDefault="000742A8" w:rsidP="00A45DBE">
      <w:pPr>
        <w:spacing w:line="360" w:lineRule="auto"/>
        <w:ind w:left="720" w:hanging="720"/>
        <w:jc w:val="both"/>
        <w:rPr>
          <w:noProof/>
          <w:szCs w:val="22"/>
          <w:lang w:val="en-GB"/>
        </w:rPr>
      </w:pPr>
      <w:bookmarkStart w:id="7" w:name="_ENREF_7"/>
      <w:r w:rsidRPr="00D60185">
        <w:rPr>
          <w:noProof/>
          <w:szCs w:val="22"/>
          <w:lang w:val="en-GB"/>
        </w:rPr>
        <w:t>Cobben F (2009) Nonresponse in Sample Survey. Methods for Analyses. PhD thesis, Universiteit van Amsterdam</w:t>
      </w:r>
      <w:bookmarkEnd w:id="7"/>
    </w:p>
    <w:p w:rsidR="000742A8" w:rsidRPr="00D60185" w:rsidRDefault="000742A8" w:rsidP="00A45DBE">
      <w:pPr>
        <w:spacing w:line="360" w:lineRule="auto"/>
        <w:ind w:left="720" w:hanging="720"/>
        <w:jc w:val="both"/>
        <w:rPr>
          <w:noProof/>
          <w:szCs w:val="22"/>
          <w:lang w:val="en-GB"/>
        </w:rPr>
      </w:pPr>
      <w:bookmarkStart w:id="8" w:name="_ENREF_8"/>
      <w:r w:rsidRPr="00D60185">
        <w:rPr>
          <w:noProof/>
          <w:szCs w:val="22"/>
          <w:lang w:val="en-GB"/>
        </w:rPr>
        <w:t>Cox DR (1972) Regression Models and Life-Tables. J R</w:t>
      </w:r>
      <w:r w:rsidR="00E221AA">
        <w:rPr>
          <w:noProof/>
          <w:szCs w:val="22"/>
          <w:lang w:val="en-GB"/>
        </w:rPr>
        <w:t xml:space="preserve"> Stat Soc,</w:t>
      </w:r>
      <w:r w:rsidRPr="00D60185">
        <w:rPr>
          <w:noProof/>
          <w:szCs w:val="22"/>
          <w:lang w:val="en-GB"/>
        </w:rPr>
        <w:t xml:space="preserve"> Series B (Methodological) 34:187-220</w:t>
      </w:r>
      <w:r w:rsidR="00E221AA">
        <w:rPr>
          <w:noProof/>
          <w:szCs w:val="22"/>
          <w:lang w:val="en-GB"/>
        </w:rPr>
        <w:t xml:space="preserve">. </w:t>
      </w:r>
      <w:r w:rsidRPr="00D60185">
        <w:rPr>
          <w:noProof/>
          <w:szCs w:val="22"/>
          <w:lang w:val="en-GB"/>
        </w:rPr>
        <w:t>doi:10.2307/2985181</w:t>
      </w:r>
      <w:bookmarkEnd w:id="8"/>
    </w:p>
    <w:p w:rsidR="000742A8" w:rsidRPr="00D60185" w:rsidRDefault="000742A8" w:rsidP="00A45DBE">
      <w:pPr>
        <w:spacing w:line="360" w:lineRule="auto"/>
        <w:ind w:left="720" w:hanging="720"/>
        <w:jc w:val="both"/>
        <w:rPr>
          <w:noProof/>
          <w:szCs w:val="22"/>
          <w:lang w:val="en-GB"/>
        </w:rPr>
      </w:pPr>
      <w:bookmarkStart w:id="9" w:name="_ENREF_9"/>
      <w:r w:rsidRPr="00D60185">
        <w:rPr>
          <w:noProof/>
          <w:szCs w:val="22"/>
          <w:lang w:val="en-GB"/>
        </w:rPr>
        <w:t>Cutler DM, Lleras-Muney A (2008) Education and health: evaluating theories and evidence. In: Schoeni RF, House JS, Kaplan GA, Pollack H (eds) Making Americans healthier: social and economic policy as health policy. Russell Sage Foundation, p</w:t>
      </w:r>
      <w:r w:rsidR="00B0619C">
        <w:rPr>
          <w:noProof/>
          <w:szCs w:val="22"/>
          <w:lang w:val="en-GB"/>
        </w:rPr>
        <w:t>p</w:t>
      </w:r>
      <w:r w:rsidRPr="00D60185">
        <w:rPr>
          <w:noProof/>
          <w:szCs w:val="22"/>
          <w:lang w:val="en-GB"/>
        </w:rPr>
        <w:t xml:space="preserve"> 29–60</w:t>
      </w:r>
      <w:bookmarkEnd w:id="9"/>
    </w:p>
    <w:p w:rsidR="000742A8" w:rsidRPr="00D60185" w:rsidRDefault="000742A8" w:rsidP="00A45DBE">
      <w:pPr>
        <w:spacing w:line="360" w:lineRule="auto"/>
        <w:ind w:left="720" w:hanging="720"/>
        <w:jc w:val="both"/>
        <w:rPr>
          <w:noProof/>
          <w:szCs w:val="22"/>
        </w:rPr>
      </w:pPr>
      <w:bookmarkStart w:id="10" w:name="_ENREF_10"/>
      <w:r w:rsidRPr="00D60185">
        <w:rPr>
          <w:noProof/>
          <w:szCs w:val="22"/>
          <w:lang w:val="en-GB"/>
        </w:rPr>
        <w:t xml:space="preserve">Dalstra JA, Kunst AE, Geurts JJ, Frenken FJ, Mackenbach JP (2002) Trends in socioeconomic health inequalities in the Netherlands, 1981-1999. </w:t>
      </w:r>
      <w:r w:rsidRPr="00D60185">
        <w:rPr>
          <w:noProof/>
          <w:szCs w:val="22"/>
        </w:rPr>
        <w:t>J Epidemiol Community H</w:t>
      </w:r>
      <w:r w:rsidR="00B0619C">
        <w:rPr>
          <w:noProof/>
          <w:szCs w:val="22"/>
        </w:rPr>
        <w:t>ealth 56</w:t>
      </w:r>
      <w:r w:rsidRPr="00D60185">
        <w:rPr>
          <w:noProof/>
          <w:szCs w:val="22"/>
        </w:rPr>
        <w:t xml:space="preserve">:927-34 </w:t>
      </w:r>
      <w:bookmarkEnd w:id="10"/>
    </w:p>
    <w:p w:rsidR="000742A8" w:rsidRPr="00D60185" w:rsidRDefault="000742A8" w:rsidP="00A45DBE">
      <w:pPr>
        <w:spacing w:line="360" w:lineRule="auto"/>
        <w:ind w:left="720" w:hanging="720"/>
        <w:jc w:val="both"/>
        <w:rPr>
          <w:noProof/>
          <w:szCs w:val="22"/>
          <w:lang w:val="en-GB"/>
        </w:rPr>
      </w:pPr>
      <w:bookmarkStart w:id="11" w:name="_ENREF_11"/>
      <w:r w:rsidRPr="00D60185">
        <w:rPr>
          <w:noProof/>
          <w:szCs w:val="22"/>
        </w:rPr>
        <w:t xml:space="preserve">den Draak M (2010) Oudere tehuisbewoners: landelijk overzicht van de leefsituatie van ouderen in instellingen 2008/2009. </w:t>
      </w:r>
      <w:r w:rsidRPr="00D60185">
        <w:rPr>
          <w:noProof/>
          <w:szCs w:val="22"/>
          <w:lang w:val="en-GB"/>
        </w:rPr>
        <w:t>[Elderly care home residents: A nationwide survey of living conditions of elderly in institutions 2008/2009]. Sociaal en Cultureel Planbureau, Den Haag</w:t>
      </w:r>
      <w:bookmarkEnd w:id="11"/>
    </w:p>
    <w:p w:rsidR="00D544B4" w:rsidRDefault="000742A8" w:rsidP="00A45DBE">
      <w:pPr>
        <w:spacing w:line="360" w:lineRule="auto"/>
        <w:ind w:left="720" w:hanging="720"/>
        <w:jc w:val="both"/>
        <w:rPr>
          <w:noProof/>
          <w:szCs w:val="22"/>
          <w:lang w:val="en-GB"/>
        </w:rPr>
      </w:pPr>
      <w:bookmarkStart w:id="12" w:name="_ENREF_12"/>
      <w:r w:rsidRPr="00D60185">
        <w:rPr>
          <w:noProof/>
          <w:szCs w:val="22"/>
          <w:lang w:val="en-GB"/>
        </w:rPr>
        <w:t>Droomers M, Schrijvers CTM, Stronks K, van de Mheen D, Mackenbach JP (1999) Educational Differences in Excessive Alcohol Consumption: The Role of Psychosocial and Material Str</w:t>
      </w:r>
      <w:r w:rsidR="00B0619C">
        <w:rPr>
          <w:noProof/>
          <w:szCs w:val="22"/>
          <w:lang w:val="en-GB"/>
        </w:rPr>
        <w:t>essors. Preventive Medicine 29</w:t>
      </w:r>
      <w:r w:rsidRPr="00D60185">
        <w:rPr>
          <w:noProof/>
          <w:szCs w:val="22"/>
          <w:lang w:val="en-GB"/>
        </w:rPr>
        <w:t>:1-10</w:t>
      </w:r>
      <w:r w:rsidR="00B0619C">
        <w:rPr>
          <w:noProof/>
          <w:szCs w:val="22"/>
          <w:lang w:val="en-GB"/>
        </w:rPr>
        <w:t>.</w:t>
      </w:r>
      <w:r w:rsidRPr="00D60185">
        <w:rPr>
          <w:noProof/>
          <w:szCs w:val="22"/>
          <w:lang w:val="en-GB"/>
        </w:rPr>
        <w:t xml:space="preserve"> </w:t>
      </w:r>
    </w:p>
    <w:p w:rsidR="000742A8" w:rsidRPr="00D60185" w:rsidRDefault="00D544B4" w:rsidP="00A45DBE">
      <w:pPr>
        <w:spacing w:line="360" w:lineRule="auto"/>
        <w:ind w:left="720" w:hanging="720"/>
        <w:jc w:val="both"/>
        <w:rPr>
          <w:noProof/>
          <w:szCs w:val="22"/>
          <w:lang w:val="en-GB"/>
        </w:rPr>
      </w:pPr>
      <w:r>
        <w:rPr>
          <w:noProof/>
          <w:szCs w:val="22"/>
          <w:lang w:val="en-GB"/>
        </w:rPr>
        <w:lastRenderedPageBreak/>
        <w:tab/>
      </w:r>
      <w:r w:rsidR="000742A8" w:rsidRPr="00D60185">
        <w:rPr>
          <w:noProof/>
          <w:szCs w:val="22"/>
          <w:lang w:val="en-GB"/>
        </w:rPr>
        <w:t>doi:</w:t>
      </w:r>
      <w:r w:rsidR="000742A8" w:rsidRPr="000742A8">
        <w:rPr>
          <w:noProof/>
          <w:szCs w:val="22"/>
          <w:lang w:val="en-GB"/>
        </w:rPr>
        <w:t>10.1006/pmed.1999.0496</w:t>
      </w:r>
      <w:bookmarkEnd w:id="12"/>
    </w:p>
    <w:p w:rsidR="000742A8" w:rsidRPr="00D60185" w:rsidRDefault="000742A8" w:rsidP="00A45DBE">
      <w:pPr>
        <w:spacing w:line="360" w:lineRule="auto"/>
        <w:ind w:left="720" w:hanging="720"/>
        <w:jc w:val="both"/>
        <w:rPr>
          <w:noProof/>
          <w:szCs w:val="22"/>
          <w:lang w:val="en-GB"/>
        </w:rPr>
      </w:pPr>
      <w:bookmarkStart w:id="13" w:name="_ENREF_13"/>
      <w:r w:rsidRPr="00D60185">
        <w:rPr>
          <w:noProof/>
          <w:szCs w:val="22"/>
          <w:lang w:val="en-GB"/>
        </w:rPr>
        <w:t>Droomers M, Schrijvers CTM, van de Mheen H, Mackenbach JP (1998) Educational differences in leisure-time physical inactivity: a descriptive and explanatory study.</w:t>
      </w:r>
      <w:r w:rsidR="00CE305C">
        <w:rPr>
          <w:noProof/>
          <w:szCs w:val="22"/>
          <w:lang w:val="en-GB"/>
        </w:rPr>
        <w:t xml:space="preserve"> Soc Sci Med 47</w:t>
      </w:r>
      <w:r w:rsidRPr="00D60185">
        <w:rPr>
          <w:noProof/>
          <w:szCs w:val="22"/>
          <w:lang w:val="en-GB"/>
        </w:rPr>
        <w:t>:1665-1676</w:t>
      </w:r>
      <w:r w:rsidR="00CE305C">
        <w:rPr>
          <w:noProof/>
          <w:szCs w:val="22"/>
          <w:lang w:val="en-GB"/>
        </w:rPr>
        <w:t>.</w:t>
      </w:r>
      <w:r w:rsidRPr="00D60185">
        <w:rPr>
          <w:noProof/>
          <w:szCs w:val="22"/>
          <w:lang w:val="en-GB"/>
        </w:rPr>
        <w:t xml:space="preserve"> doi:</w:t>
      </w:r>
      <w:r w:rsidRPr="000742A8">
        <w:rPr>
          <w:noProof/>
          <w:szCs w:val="22"/>
          <w:lang w:val="en-GB"/>
        </w:rPr>
        <w:t>10.1016/S0277-9536(98)00272-X</w:t>
      </w:r>
      <w:bookmarkEnd w:id="13"/>
    </w:p>
    <w:p w:rsidR="000742A8" w:rsidRPr="00D60185" w:rsidRDefault="000742A8" w:rsidP="00A45DBE">
      <w:pPr>
        <w:spacing w:line="360" w:lineRule="auto"/>
        <w:ind w:left="720" w:hanging="720"/>
        <w:jc w:val="both"/>
        <w:rPr>
          <w:noProof/>
          <w:szCs w:val="22"/>
          <w:lang w:val="en-GB"/>
        </w:rPr>
      </w:pPr>
      <w:bookmarkStart w:id="14" w:name="_ENREF_14"/>
      <w:r w:rsidRPr="00D60185">
        <w:rPr>
          <w:noProof/>
          <w:szCs w:val="22"/>
          <w:lang w:val="en-GB"/>
        </w:rPr>
        <w:t>Eikemo TA, Mackenbach JP (2012) The potential for reduction of health inequalities in Europe. The EURO-GBD-SE final report. Department of Public Health, Erasmus University Medical Center Rotterdam, Rotterdam</w:t>
      </w:r>
      <w:bookmarkEnd w:id="14"/>
    </w:p>
    <w:p w:rsidR="000742A8" w:rsidRPr="00D60185" w:rsidRDefault="000742A8" w:rsidP="00A45DBE">
      <w:pPr>
        <w:spacing w:line="360" w:lineRule="auto"/>
        <w:ind w:left="720" w:hanging="720"/>
        <w:jc w:val="both"/>
        <w:rPr>
          <w:noProof/>
          <w:szCs w:val="22"/>
          <w:lang w:val="en-GB"/>
        </w:rPr>
      </w:pPr>
      <w:bookmarkStart w:id="15" w:name="_ENREF_15"/>
      <w:r w:rsidRPr="00D60185">
        <w:rPr>
          <w:noProof/>
          <w:szCs w:val="22"/>
          <w:lang w:val="en-GB"/>
        </w:rPr>
        <w:t>Ferrie JE, et al. (2009) Non-response to baseline, non-response to follow-up and mortality in the Whitehall II cohort. Int J Epidemiol 38:831-</w:t>
      </w:r>
      <w:r w:rsidR="0039540B">
        <w:rPr>
          <w:noProof/>
          <w:szCs w:val="22"/>
          <w:lang w:val="en-GB"/>
        </w:rPr>
        <w:t>837.</w:t>
      </w:r>
      <w:r w:rsidRPr="00D60185">
        <w:rPr>
          <w:noProof/>
          <w:szCs w:val="22"/>
          <w:lang w:val="en-GB"/>
        </w:rPr>
        <w:t xml:space="preserve"> doi:10.1093/ije/dyp153</w:t>
      </w:r>
      <w:bookmarkEnd w:id="15"/>
    </w:p>
    <w:p w:rsidR="000742A8" w:rsidRPr="00D60185" w:rsidRDefault="000742A8" w:rsidP="00A45DBE">
      <w:pPr>
        <w:spacing w:line="360" w:lineRule="auto"/>
        <w:ind w:left="720" w:hanging="720"/>
        <w:jc w:val="both"/>
        <w:rPr>
          <w:noProof/>
          <w:szCs w:val="22"/>
          <w:lang w:val="en-GB"/>
        </w:rPr>
      </w:pPr>
      <w:bookmarkStart w:id="16" w:name="_ENREF_16"/>
      <w:r w:rsidRPr="00D60185">
        <w:rPr>
          <w:noProof/>
          <w:szCs w:val="22"/>
          <w:lang w:val="en-GB"/>
        </w:rPr>
        <w:t>Galobardes B, Lynch J, Smith GD (2007) Measuring socioeconomic position in health research. Br Med Bull 81-82:21-37</w:t>
      </w:r>
      <w:r w:rsidR="0039540B">
        <w:rPr>
          <w:noProof/>
          <w:szCs w:val="22"/>
          <w:lang w:val="en-GB"/>
        </w:rPr>
        <w:t>.</w:t>
      </w:r>
      <w:r w:rsidRPr="00D60185">
        <w:rPr>
          <w:noProof/>
          <w:szCs w:val="22"/>
          <w:lang w:val="en-GB"/>
        </w:rPr>
        <w:t xml:space="preserve"> doi:10.1093/bmb/ldm001</w:t>
      </w:r>
      <w:bookmarkEnd w:id="16"/>
    </w:p>
    <w:p w:rsidR="00D544B4" w:rsidRDefault="000742A8" w:rsidP="00A45DBE">
      <w:pPr>
        <w:spacing w:line="360" w:lineRule="auto"/>
        <w:ind w:left="720" w:hanging="720"/>
        <w:jc w:val="both"/>
        <w:rPr>
          <w:noProof/>
          <w:szCs w:val="22"/>
          <w:lang w:val="en-GB"/>
        </w:rPr>
      </w:pPr>
      <w:bookmarkStart w:id="17" w:name="_ENREF_17"/>
      <w:r w:rsidRPr="00D60185">
        <w:rPr>
          <w:noProof/>
          <w:szCs w:val="22"/>
          <w:lang w:val="en-GB"/>
        </w:rPr>
        <w:t>Gathmann C, Jurges H, Reinhold S (2014) Compulsory schooling reforms, education and mortality in twenti</w:t>
      </w:r>
      <w:r w:rsidR="0039540B">
        <w:rPr>
          <w:noProof/>
          <w:szCs w:val="22"/>
          <w:lang w:val="en-GB"/>
        </w:rPr>
        <w:t>eth century Europe. Soc Sci Med.</w:t>
      </w:r>
    </w:p>
    <w:p w:rsidR="000742A8" w:rsidRPr="00D60185" w:rsidRDefault="000742A8" w:rsidP="00D544B4">
      <w:pPr>
        <w:spacing w:line="360" w:lineRule="auto"/>
        <w:ind w:left="720"/>
        <w:jc w:val="both"/>
        <w:rPr>
          <w:noProof/>
          <w:szCs w:val="22"/>
          <w:lang w:val="en-GB"/>
        </w:rPr>
      </w:pPr>
      <w:r w:rsidRPr="00D60185">
        <w:rPr>
          <w:noProof/>
          <w:szCs w:val="22"/>
          <w:lang w:val="en-GB"/>
        </w:rPr>
        <w:t>doi:10.1016/j.socscimed.2014.01.037</w:t>
      </w:r>
      <w:bookmarkEnd w:id="17"/>
    </w:p>
    <w:p w:rsidR="000742A8" w:rsidRPr="00D60185" w:rsidRDefault="000742A8" w:rsidP="00A45DBE">
      <w:pPr>
        <w:spacing w:line="360" w:lineRule="auto"/>
        <w:ind w:left="720" w:hanging="720"/>
        <w:jc w:val="both"/>
        <w:rPr>
          <w:noProof/>
          <w:szCs w:val="22"/>
          <w:lang w:val="en-GB"/>
        </w:rPr>
      </w:pPr>
      <w:bookmarkStart w:id="18" w:name="_ENREF_18"/>
      <w:r w:rsidRPr="00D60185">
        <w:rPr>
          <w:noProof/>
          <w:szCs w:val="22"/>
          <w:lang w:val="en-GB"/>
        </w:rPr>
        <w:t xml:space="preserve">Giskes K, et al. (2005) Trends in smoking behaviour between 1985 and 2000 in nine European countries by education. </w:t>
      </w:r>
      <w:r w:rsidR="0039540B">
        <w:rPr>
          <w:noProof/>
          <w:szCs w:val="22"/>
          <w:lang w:val="en-GB"/>
        </w:rPr>
        <w:t>J Epidemiol Community Health 59</w:t>
      </w:r>
      <w:r w:rsidRPr="00D60185">
        <w:rPr>
          <w:noProof/>
          <w:szCs w:val="22"/>
          <w:lang w:val="en-GB"/>
        </w:rPr>
        <w:t>:395-401</w:t>
      </w:r>
      <w:r w:rsidR="0039540B">
        <w:rPr>
          <w:noProof/>
          <w:szCs w:val="22"/>
          <w:lang w:val="en-GB"/>
        </w:rPr>
        <w:t>.</w:t>
      </w:r>
      <w:r w:rsidRPr="00D60185">
        <w:rPr>
          <w:noProof/>
          <w:szCs w:val="22"/>
          <w:lang w:val="en-GB"/>
        </w:rPr>
        <w:t xml:space="preserve"> doi:10.1136/jech.2004.025684</w:t>
      </w:r>
      <w:bookmarkEnd w:id="18"/>
    </w:p>
    <w:p w:rsidR="000742A8" w:rsidRPr="00D60185" w:rsidRDefault="000742A8" w:rsidP="00A45DBE">
      <w:pPr>
        <w:spacing w:line="360" w:lineRule="auto"/>
        <w:ind w:left="720" w:hanging="720"/>
        <w:jc w:val="both"/>
        <w:rPr>
          <w:noProof/>
          <w:szCs w:val="22"/>
          <w:lang w:val="en-GB"/>
        </w:rPr>
      </w:pPr>
      <w:bookmarkStart w:id="19" w:name="_ENREF_19"/>
      <w:r w:rsidRPr="00D60185">
        <w:rPr>
          <w:noProof/>
          <w:szCs w:val="22"/>
          <w:lang w:val="en-GB"/>
        </w:rPr>
        <w:t>Groenewold G, van Ginneken J, Masseria C (2008) Towards comparable statistics on mortality by socioeconomic status in EU Member States Methodology Note – European Observatory on Demography and the Social Situation – Demography Network. European Commission, Brussels</w:t>
      </w:r>
      <w:bookmarkEnd w:id="19"/>
    </w:p>
    <w:p w:rsidR="000742A8" w:rsidRPr="00D60185" w:rsidRDefault="000742A8" w:rsidP="00A45DBE">
      <w:pPr>
        <w:spacing w:line="360" w:lineRule="auto"/>
        <w:ind w:left="720" w:hanging="720"/>
        <w:jc w:val="both"/>
        <w:rPr>
          <w:noProof/>
          <w:szCs w:val="22"/>
          <w:lang w:val="en-GB"/>
        </w:rPr>
      </w:pPr>
      <w:bookmarkStart w:id="20" w:name="_ENREF_20"/>
      <w:r w:rsidRPr="00D60185">
        <w:rPr>
          <w:noProof/>
          <w:szCs w:val="22"/>
          <w:lang w:val="en-GB"/>
        </w:rPr>
        <w:t xml:space="preserve">Harteloh P, de Bruin K, Kardaun J (2010) The reliability of cause-of-death coding in The </w:t>
      </w:r>
      <w:r w:rsidR="003D73B7">
        <w:rPr>
          <w:noProof/>
          <w:szCs w:val="22"/>
          <w:lang w:val="en-GB"/>
        </w:rPr>
        <w:t>Netherlands. Eur J Epidemiol 25</w:t>
      </w:r>
      <w:r w:rsidRPr="00D60185">
        <w:rPr>
          <w:noProof/>
          <w:szCs w:val="22"/>
          <w:lang w:val="en-GB"/>
        </w:rPr>
        <w:t>:531-</w:t>
      </w:r>
      <w:r w:rsidR="003D73B7">
        <w:rPr>
          <w:noProof/>
          <w:szCs w:val="22"/>
          <w:lang w:val="en-GB"/>
        </w:rPr>
        <w:t>53</w:t>
      </w:r>
      <w:r w:rsidRPr="00D60185">
        <w:rPr>
          <w:noProof/>
          <w:szCs w:val="22"/>
          <w:lang w:val="en-GB"/>
        </w:rPr>
        <w:t>8</w:t>
      </w:r>
      <w:r w:rsidR="003D73B7">
        <w:rPr>
          <w:noProof/>
          <w:szCs w:val="22"/>
          <w:lang w:val="en-GB"/>
        </w:rPr>
        <w:t>.</w:t>
      </w:r>
      <w:r w:rsidRPr="00D60185">
        <w:rPr>
          <w:noProof/>
          <w:szCs w:val="22"/>
          <w:lang w:val="en-GB"/>
        </w:rPr>
        <w:t xml:space="preserve"> doi:10.1007/s10654-010-9445-5</w:t>
      </w:r>
      <w:bookmarkEnd w:id="20"/>
    </w:p>
    <w:p w:rsidR="000742A8" w:rsidRPr="00D60185" w:rsidRDefault="000742A8" w:rsidP="00A45DBE">
      <w:pPr>
        <w:spacing w:line="360" w:lineRule="auto"/>
        <w:ind w:left="720" w:hanging="720"/>
        <w:jc w:val="both"/>
        <w:rPr>
          <w:noProof/>
          <w:szCs w:val="22"/>
          <w:lang w:val="en-GB"/>
        </w:rPr>
      </w:pPr>
      <w:bookmarkStart w:id="21" w:name="_ENREF_21"/>
      <w:r w:rsidRPr="00D60185">
        <w:rPr>
          <w:noProof/>
          <w:szCs w:val="22"/>
          <w:lang w:val="en-GB"/>
        </w:rPr>
        <w:t>Huisman M, et al. (2005) Educational inequalities in cause-specific mortality in middle-aged and older men and women in eight western Europ</w:t>
      </w:r>
      <w:r w:rsidR="003D73B7">
        <w:rPr>
          <w:noProof/>
          <w:szCs w:val="22"/>
          <w:lang w:val="en-GB"/>
        </w:rPr>
        <w:t>ean populations. Lancet 365</w:t>
      </w:r>
      <w:r w:rsidRPr="00D60185">
        <w:rPr>
          <w:noProof/>
          <w:szCs w:val="22"/>
          <w:lang w:val="en-GB"/>
        </w:rPr>
        <w:t>:493-500</w:t>
      </w:r>
      <w:r w:rsidR="003D73B7">
        <w:rPr>
          <w:noProof/>
          <w:szCs w:val="22"/>
          <w:lang w:val="en-GB"/>
        </w:rPr>
        <w:t>.</w:t>
      </w:r>
      <w:r w:rsidRPr="00D60185">
        <w:rPr>
          <w:noProof/>
          <w:szCs w:val="22"/>
          <w:lang w:val="en-GB"/>
        </w:rPr>
        <w:t xml:space="preserve"> doi:10.1016/S0140-6736(05)17867-2</w:t>
      </w:r>
      <w:bookmarkEnd w:id="21"/>
    </w:p>
    <w:p w:rsidR="000742A8" w:rsidRPr="00D60185" w:rsidRDefault="000742A8" w:rsidP="00A45DBE">
      <w:pPr>
        <w:spacing w:line="360" w:lineRule="auto"/>
        <w:ind w:left="720" w:hanging="720"/>
        <w:jc w:val="both"/>
        <w:rPr>
          <w:noProof/>
          <w:szCs w:val="22"/>
          <w:lang w:val="en-GB"/>
        </w:rPr>
      </w:pPr>
      <w:bookmarkStart w:id="22" w:name="_ENREF_22"/>
      <w:r w:rsidRPr="00D60185">
        <w:rPr>
          <w:noProof/>
          <w:szCs w:val="22"/>
          <w:lang w:val="en-GB"/>
        </w:rPr>
        <w:t>Janssen F, Nusselder WJ, Looman CW, Mackenbach JP, Kunst AE (2003) Stagnation in mortality decline among elders in the Netherlands. Gero</w:t>
      </w:r>
      <w:r w:rsidR="003D73B7">
        <w:rPr>
          <w:noProof/>
          <w:szCs w:val="22"/>
          <w:lang w:val="en-GB"/>
        </w:rPr>
        <w:t>ntologist 43</w:t>
      </w:r>
      <w:r w:rsidRPr="00D60185">
        <w:rPr>
          <w:noProof/>
          <w:szCs w:val="22"/>
          <w:lang w:val="en-GB"/>
        </w:rPr>
        <w:t xml:space="preserve">:722-34 </w:t>
      </w:r>
      <w:bookmarkEnd w:id="22"/>
    </w:p>
    <w:p w:rsidR="000742A8" w:rsidRPr="00D60185" w:rsidRDefault="000742A8" w:rsidP="00A45DBE">
      <w:pPr>
        <w:spacing w:line="360" w:lineRule="auto"/>
        <w:ind w:left="720" w:hanging="720"/>
        <w:jc w:val="both"/>
        <w:rPr>
          <w:noProof/>
          <w:szCs w:val="22"/>
          <w:lang w:val="en-GB"/>
        </w:rPr>
      </w:pPr>
      <w:bookmarkStart w:id="23" w:name="_ENREF_23"/>
      <w:r w:rsidRPr="00D60185">
        <w:rPr>
          <w:noProof/>
          <w:szCs w:val="22"/>
          <w:lang w:val="en-GB"/>
        </w:rPr>
        <w:t>Kunst AE, Looman CW, Mackenbach JP (1990) Socio-economic mortality differences in The Netherlands in 1950-1984: a regional study of cause-spe</w:t>
      </w:r>
      <w:r w:rsidR="003D73B7">
        <w:rPr>
          <w:noProof/>
          <w:szCs w:val="22"/>
          <w:lang w:val="en-GB"/>
        </w:rPr>
        <w:t>cific mortality. Soc Sci Med 31</w:t>
      </w:r>
      <w:r w:rsidRPr="00D60185">
        <w:rPr>
          <w:noProof/>
          <w:szCs w:val="22"/>
          <w:lang w:val="en-GB"/>
        </w:rPr>
        <w:t xml:space="preserve">:141-52 </w:t>
      </w:r>
      <w:bookmarkEnd w:id="23"/>
    </w:p>
    <w:p w:rsidR="000742A8" w:rsidRPr="00D60185" w:rsidRDefault="000742A8" w:rsidP="00A45DBE">
      <w:pPr>
        <w:spacing w:line="360" w:lineRule="auto"/>
        <w:ind w:left="720" w:hanging="720"/>
        <w:jc w:val="both"/>
        <w:rPr>
          <w:noProof/>
          <w:szCs w:val="22"/>
          <w:lang w:val="en-GB"/>
        </w:rPr>
      </w:pPr>
      <w:bookmarkStart w:id="24" w:name="_ENREF_24"/>
      <w:r w:rsidRPr="00D60185">
        <w:rPr>
          <w:noProof/>
          <w:szCs w:val="22"/>
          <w:lang w:val="en-GB"/>
        </w:rPr>
        <w:t xml:space="preserve">Kunst AE, Looman CW, Mackenbach JP (1993) Determinants of regional differences in lung cancer mortality in The Netherlands. Soc Sci Med 37:623-31 </w:t>
      </w:r>
      <w:bookmarkEnd w:id="24"/>
    </w:p>
    <w:p w:rsidR="00D544B4" w:rsidRDefault="000742A8" w:rsidP="00A45DBE">
      <w:pPr>
        <w:spacing w:line="360" w:lineRule="auto"/>
        <w:ind w:left="720" w:hanging="720"/>
        <w:jc w:val="both"/>
        <w:rPr>
          <w:noProof/>
          <w:szCs w:val="22"/>
          <w:lang w:val="en-GB"/>
        </w:rPr>
      </w:pPr>
      <w:bookmarkStart w:id="25" w:name="_ENREF_25"/>
      <w:r w:rsidRPr="00D60185">
        <w:rPr>
          <w:noProof/>
          <w:szCs w:val="22"/>
          <w:lang w:val="en-GB"/>
        </w:rPr>
        <w:lastRenderedPageBreak/>
        <w:t>Lager AC, Torssander J (2012) Causal effect of education on mortality in a quasi-experiment on 1.2 milli</w:t>
      </w:r>
      <w:r w:rsidR="00D544B4">
        <w:rPr>
          <w:noProof/>
          <w:szCs w:val="22"/>
          <w:lang w:val="en-GB"/>
        </w:rPr>
        <w:t>on Swedes. Proc Natl Acad Sci US</w:t>
      </w:r>
      <w:r w:rsidRPr="00D60185">
        <w:rPr>
          <w:noProof/>
          <w:szCs w:val="22"/>
          <w:lang w:val="en-GB"/>
        </w:rPr>
        <w:t>A 109:8461-</w:t>
      </w:r>
      <w:r w:rsidR="003D73B7">
        <w:rPr>
          <w:noProof/>
          <w:szCs w:val="22"/>
          <w:lang w:val="en-GB"/>
        </w:rPr>
        <w:t>6.</w:t>
      </w:r>
      <w:r w:rsidRPr="00D60185">
        <w:rPr>
          <w:noProof/>
          <w:szCs w:val="22"/>
          <w:lang w:val="en-GB"/>
        </w:rPr>
        <w:t xml:space="preserve"> </w:t>
      </w:r>
    </w:p>
    <w:p w:rsidR="000742A8" w:rsidRPr="00D60185" w:rsidRDefault="00D544B4" w:rsidP="00A45DBE">
      <w:pPr>
        <w:spacing w:line="360" w:lineRule="auto"/>
        <w:ind w:left="720" w:hanging="720"/>
        <w:jc w:val="both"/>
        <w:rPr>
          <w:noProof/>
          <w:szCs w:val="22"/>
          <w:lang w:val="en-GB"/>
        </w:rPr>
      </w:pPr>
      <w:r>
        <w:rPr>
          <w:noProof/>
          <w:szCs w:val="22"/>
          <w:lang w:val="en-GB"/>
        </w:rPr>
        <w:tab/>
      </w:r>
      <w:r w:rsidR="000742A8" w:rsidRPr="00D60185">
        <w:rPr>
          <w:noProof/>
          <w:szCs w:val="22"/>
          <w:lang w:val="en-GB"/>
        </w:rPr>
        <w:t>doi:10.1073/pnas.1105839109</w:t>
      </w:r>
      <w:bookmarkEnd w:id="25"/>
    </w:p>
    <w:p w:rsidR="000742A8" w:rsidRPr="00D60185" w:rsidRDefault="000742A8" w:rsidP="00A45DBE">
      <w:pPr>
        <w:spacing w:line="360" w:lineRule="auto"/>
        <w:ind w:left="720" w:hanging="720"/>
        <w:jc w:val="both"/>
        <w:rPr>
          <w:noProof/>
          <w:szCs w:val="22"/>
          <w:lang w:val="en-GB"/>
        </w:rPr>
      </w:pPr>
      <w:bookmarkStart w:id="26" w:name="_ENREF_26"/>
      <w:r w:rsidRPr="00D60185">
        <w:rPr>
          <w:noProof/>
          <w:szCs w:val="22"/>
          <w:lang w:val="en-GB"/>
        </w:rPr>
        <w:t xml:space="preserve">Lahelma E, Martikainen P, Laaksonen M, Aittomaki A (2004) Pathways between socioeconomic determinants of health. </w:t>
      </w:r>
      <w:r w:rsidR="003D73B7">
        <w:rPr>
          <w:noProof/>
          <w:szCs w:val="22"/>
          <w:lang w:val="en-GB"/>
        </w:rPr>
        <w:t>J Epidemiol Community Health 58</w:t>
      </w:r>
      <w:r w:rsidRPr="00D60185">
        <w:rPr>
          <w:noProof/>
          <w:szCs w:val="22"/>
          <w:lang w:val="en-GB"/>
        </w:rPr>
        <w:t>:327-</w:t>
      </w:r>
      <w:r w:rsidR="003D73B7">
        <w:rPr>
          <w:noProof/>
          <w:szCs w:val="22"/>
          <w:lang w:val="en-GB"/>
        </w:rPr>
        <w:t>3</w:t>
      </w:r>
      <w:r w:rsidRPr="00D60185">
        <w:rPr>
          <w:noProof/>
          <w:szCs w:val="22"/>
          <w:lang w:val="en-GB"/>
        </w:rPr>
        <w:t xml:space="preserve">32 </w:t>
      </w:r>
      <w:bookmarkEnd w:id="26"/>
    </w:p>
    <w:p w:rsidR="000742A8" w:rsidRPr="00D60185" w:rsidRDefault="000742A8" w:rsidP="00A45DBE">
      <w:pPr>
        <w:spacing w:line="360" w:lineRule="auto"/>
        <w:ind w:left="720" w:hanging="720"/>
        <w:jc w:val="both"/>
        <w:rPr>
          <w:noProof/>
          <w:szCs w:val="22"/>
          <w:lang w:val="en-GB"/>
        </w:rPr>
      </w:pPr>
      <w:bookmarkStart w:id="27" w:name="_ENREF_27"/>
      <w:r w:rsidRPr="00D60185">
        <w:rPr>
          <w:noProof/>
          <w:szCs w:val="22"/>
          <w:lang w:val="en-GB"/>
        </w:rPr>
        <w:t>Lopez AD, Collishaw N, Piha TA (1994) A descriptive model of the cigarette epidemic</w:t>
      </w:r>
      <w:r w:rsidR="003D73B7">
        <w:rPr>
          <w:noProof/>
          <w:szCs w:val="22"/>
          <w:lang w:val="en-GB"/>
        </w:rPr>
        <w:t xml:space="preserve"> in developed countries. Tob</w:t>
      </w:r>
      <w:r w:rsidRPr="00D60185">
        <w:rPr>
          <w:noProof/>
          <w:szCs w:val="22"/>
          <w:lang w:val="en-GB"/>
        </w:rPr>
        <w:t xml:space="preserve"> Control 3:242–</w:t>
      </w:r>
      <w:r w:rsidR="003D73B7">
        <w:rPr>
          <w:noProof/>
          <w:szCs w:val="22"/>
          <w:lang w:val="en-GB"/>
        </w:rPr>
        <w:t>24</w:t>
      </w:r>
      <w:r w:rsidRPr="00D60185">
        <w:rPr>
          <w:noProof/>
          <w:szCs w:val="22"/>
          <w:lang w:val="en-GB"/>
        </w:rPr>
        <w:t xml:space="preserve">7 </w:t>
      </w:r>
      <w:bookmarkEnd w:id="27"/>
    </w:p>
    <w:p w:rsidR="000742A8" w:rsidRPr="00D60185" w:rsidRDefault="000742A8" w:rsidP="00A45DBE">
      <w:pPr>
        <w:spacing w:line="360" w:lineRule="auto"/>
        <w:ind w:left="720" w:hanging="720"/>
        <w:jc w:val="both"/>
        <w:rPr>
          <w:noProof/>
          <w:szCs w:val="22"/>
          <w:lang w:val="en-GB"/>
        </w:rPr>
      </w:pPr>
      <w:bookmarkStart w:id="28" w:name="_ENREF_28"/>
      <w:r w:rsidRPr="00D60185">
        <w:rPr>
          <w:noProof/>
          <w:szCs w:val="22"/>
          <w:lang w:val="en-GB"/>
        </w:rPr>
        <w:t>Mackenbach JP (1992) Socio-economic health differences in The Netherlands: a review of recent empirical findings. Soc Sci Med 34:213-</w:t>
      </w:r>
      <w:r w:rsidR="0008741E">
        <w:rPr>
          <w:noProof/>
          <w:szCs w:val="22"/>
          <w:lang w:val="en-GB"/>
        </w:rPr>
        <w:t>2</w:t>
      </w:r>
      <w:r w:rsidRPr="00D60185">
        <w:rPr>
          <w:noProof/>
          <w:szCs w:val="22"/>
          <w:lang w:val="en-GB"/>
        </w:rPr>
        <w:t xml:space="preserve">26 </w:t>
      </w:r>
      <w:bookmarkEnd w:id="28"/>
    </w:p>
    <w:p w:rsidR="000742A8" w:rsidRPr="00D60185" w:rsidRDefault="000742A8" w:rsidP="00A45DBE">
      <w:pPr>
        <w:spacing w:line="360" w:lineRule="auto"/>
        <w:ind w:left="720" w:hanging="720"/>
        <w:jc w:val="both"/>
        <w:rPr>
          <w:noProof/>
          <w:szCs w:val="22"/>
          <w:lang w:val="en-GB"/>
        </w:rPr>
      </w:pPr>
      <w:bookmarkStart w:id="29" w:name="_ENREF_29"/>
      <w:r w:rsidRPr="00D60185">
        <w:rPr>
          <w:noProof/>
          <w:szCs w:val="22"/>
          <w:lang w:val="en-GB"/>
        </w:rPr>
        <w:t>Mackenbach JP (1993) Inequalities in health in The Netherlands according to age, gender, marital status, level of education, degree of urbanization, and region. Eur</w:t>
      </w:r>
      <w:r w:rsidR="0008741E">
        <w:rPr>
          <w:noProof/>
          <w:szCs w:val="22"/>
          <w:lang w:val="en-GB"/>
        </w:rPr>
        <w:t xml:space="preserve"> J </w:t>
      </w:r>
      <w:r w:rsidRPr="00D60185">
        <w:rPr>
          <w:noProof/>
          <w:szCs w:val="22"/>
          <w:lang w:val="en-GB"/>
        </w:rPr>
        <w:t>Public Health 3:112-118</w:t>
      </w:r>
      <w:r w:rsidR="0008741E">
        <w:rPr>
          <w:noProof/>
          <w:szCs w:val="22"/>
          <w:lang w:val="en-GB"/>
        </w:rPr>
        <w:t>.</w:t>
      </w:r>
      <w:r w:rsidRPr="00D60185">
        <w:rPr>
          <w:noProof/>
          <w:szCs w:val="22"/>
          <w:lang w:val="en-GB"/>
        </w:rPr>
        <w:t xml:space="preserve"> doi:10.1093/eurpub/3.2.112</w:t>
      </w:r>
      <w:bookmarkEnd w:id="29"/>
    </w:p>
    <w:p w:rsidR="000742A8" w:rsidRPr="00D60185" w:rsidRDefault="000742A8" w:rsidP="00A45DBE">
      <w:pPr>
        <w:spacing w:line="360" w:lineRule="auto"/>
        <w:ind w:left="720" w:hanging="720"/>
        <w:jc w:val="both"/>
        <w:rPr>
          <w:noProof/>
          <w:szCs w:val="22"/>
          <w:lang w:val="en-GB"/>
        </w:rPr>
      </w:pPr>
      <w:bookmarkStart w:id="30" w:name="_ENREF_30"/>
      <w:r w:rsidRPr="00D60185">
        <w:rPr>
          <w:noProof/>
          <w:szCs w:val="22"/>
          <w:lang w:val="en-GB"/>
        </w:rPr>
        <w:t>Mackenbach JP, et al. (2008) Socioeconomic inequalities in health in 22 European countries. N Engl J Med 358</w:t>
      </w:r>
      <w:r w:rsidR="0008741E">
        <w:rPr>
          <w:noProof/>
          <w:szCs w:val="22"/>
          <w:lang w:val="en-GB"/>
        </w:rPr>
        <w:t>:2468-81.</w:t>
      </w:r>
      <w:r w:rsidRPr="00D60185">
        <w:rPr>
          <w:noProof/>
          <w:szCs w:val="22"/>
          <w:lang w:val="en-GB"/>
        </w:rPr>
        <w:t xml:space="preserve"> doi:10.1056/NEJMsa0707519</w:t>
      </w:r>
      <w:bookmarkEnd w:id="30"/>
    </w:p>
    <w:p w:rsidR="000742A8" w:rsidRPr="00D60185" w:rsidRDefault="000742A8" w:rsidP="00A45DBE">
      <w:pPr>
        <w:spacing w:line="360" w:lineRule="auto"/>
        <w:ind w:left="720" w:hanging="720"/>
        <w:jc w:val="both"/>
        <w:rPr>
          <w:noProof/>
          <w:szCs w:val="22"/>
          <w:lang w:val="en-GB"/>
        </w:rPr>
      </w:pPr>
      <w:bookmarkStart w:id="31" w:name="_ENREF_31"/>
      <w:r w:rsidRPr="00D60185">
        <w:rPr>
          <w:noProof/>
          <w:szCs w:val="22"/>
          <w:lang w:val="en-GB"/>
        </w:rPr>
        <w:t xml:space="preserve">Mackenbach JP, Stronks K (2002) A strategy for tackling health inequalities in the Netherlands. BMJ 325:1029-32 </w:t>
      </w:r>
      <w:bookmarkEnd w:id="31"/>
    </w:p>
    <w:p w:rsidR="000742A8" w:rsidRPr="00D60185" w:rsidRDefault="000742A8" w:rsidP="00A45DBE">
      <w:pPr>
        <w:spacing w:line="360" w:lineRule="auto"/>
        <w:ind w:left="720" w:hanging="720"/>
        <w:jc w:val="both"/>
        <w:rPr>
          <w:noProof/>
          <w:szCs w:val="22"/>
          <w:lang w:val="en-GB"/>
        </w:rPr>
      </w:pPr>
      <w:bookmarkStart w:id="32" w:name="_ENREF_32"/>
      <w:r w:rsidRPr="00D60185">
        <w:rPr>
          <w:noProof/>
          <w:szCs w:val="22"/>
          <w:lang w:val="en-GB"/>
        </w:rPr>
        <w:t>Mackenbach JP, Van Duyne WM, Kelson MC (1987) Certification and coding of two underlying causes of death in The Netherlands and other countries of the European Community. J Epidemiol Community Health 41:156-</w:t>
      </w:r>
      <w:r w:rsidR="0008741E">
        <w:rPr>
          <w:noProof/>
          <w:szCs w:val="22"/>
          <w:lang w:val="en-GB"/>
        </w:rPr>
        <w:t>1</w:t>
      </w:r>
      <w:r w:rsidRPr="00D60185">
        <w:rPr>
          <w:noProof/>
          <w:szCs w:val="22"/>
          <w:lang w:val="en-GB"/>
        </w:rPr>
        <w:t xml:space="preserve">60 </w:t>
      </w:r>
      <w:bookmarkEnd w:id="32"/>
    </w:p>
    <w:p w:rsidR="000742A8" w:rsidRPr="00D60185" w:rsidRDefault="000742A8" w:rsidP="00A45DBE">
      <w:pPr>
        <w:spacing w:line="360" w:lineRule="auto"/>
        <w:ind w:left="720" w:hanging="720"/>
        <w:jc w:val="both"/>
        <w:rPr>
          <w:noProof/>
          <w:szCs w:val="22"/>
          <w:lang w:val="en-GB"/>
        </w:rPr>
      </w:pPr>
      <w:bookmarkStart w:id="33" w:name="_ENREF_33"/>
      <w:r w:rsidRPr="00D60185">
        <w:rPr>
          <w:noProof/>
          <w:szCs w:val="22"/>
          <w:lang w:val="en-GB"/>
        </w:rPr>
        <w:t>Murray C, Ezzati M, Lopez A, Rodgers A, Vander Hoorn S (2003) Comparative quantification of health risks: Conceptual framework and methodological issue</w:t>
      </w:r>
      <w:r w:rsidR="009B7945">
        <w:rPr>
          <w:noProof/>
          <w:szCs w:val="22"/>
          <w:lang w:val="en-GB"/>
        </w:rPr>
        <w:t>s. Popul Health Metr 1</w:t>
      </w:r>
      <w:r w:rsidRPr="00D60185">
        <w:rPr>
          <w:noProof/>
          <w:szCs w:val="22"/>
          <w:lang w:val="en-GB"/>
        </w:rPr>
        <w:t xml:space="preserve">:1 </w:t>
      </w:r>
      <w:bookmarkEnd w:id="33"/>
    </w:p>
    <w:p w:rsidR="000742A8" w:rsidRPr="00D60185" w:rsidRDefault="000742A8" w:rsidP="00A45DBE">
      <w:pPr>
        <w:spacing w:line="360" w:lineRule="auto"/>
        <w:ind w:left="720" w:hanging="720"/>
        <w:jc w:val="both"/>
        <w:rPr>
          <w:noProof/>
          <w:szCs w:val="22"/>
          <w:lang w:val="en-GB"/>
        </w:rPr>
      </w:pPr>
      <w:bookmarkStart w:id="34" w:name="_ENREF_34"/>
      <w:r w:rsidRPr="00D60185">
        <w:rPr>
          <w:noProof/>
          <w:szCs w:val="22"/>
          <w:lang w:val="en-GB"/>
        </w:rPr>
        <w:t>Ross CE, Wu C-l (1995) The Links Between Education and Health. Am Sociol Rev 60:719-745 doi:10.2307/2096319</w:t>
      </w:r>
      <w:bookmarkEnd w:id="34"/>
    </w:p>
    <w:p w:rsidR="000742A8" w:rsidRPr="00D60185" w:rsidRDefault="000742A8" w:rsidP="00A45DBE">
      <w:pPr>
        <w:spacing w:line="360" w:lineRule="auto"/>
        <w:ind w:left="720" w:hanging="720"/>
        <w:jc w:val="both"/>
        <w:rPr>
          <w:noProof/>
          <w:szCs w:val="22"/>
          <w:lang w:val="en-GB"/>
        </w:rPr>
      </w:pPr>
      <w:bookmarkStart w:id="35" w:name="_ENREF_35"/>
      <w:r w:rsidRPr="00D60185">
        <w:rPr>
          <w:noProof/>
          <w:szCs w:val="22"/>
          <w:lang w:val="en-GB"/>
        </w:rPr>
        <w:t xml:space="preserve">Stirbu I, et al. (2010) Educational inequalities in avoidable mortality in Europe. </w:t>
      </w:r>
      <w:r w:rsidR="008866C5">
        <w:rPr>
          <w:noProof/>
          <w:szCs w:val="22"/>
          <w:lang w:val="en-GB"/>
        </w:rPr>
        <w:t>J Epidemiol Community Health 64</w:t>
      </w:r>
      <w:r w:rsidRPr="00D60185">
        <w:rPr>
          <w:noProof/>
          <w:szCs w:val="22"/>
          <w:lang w:val="en-GB"/>
        </w:rPr>
        <w:t>:913-</w:t>
      </w:r>
      <w:r w:rsidR="008866C5">
        <w:rPr>
          <w:noProof/>
          <w:szCs w:val="22"/>
          <w:lang w:val="en-GB"/>
        </w:rPr>
        <w:t>9</w:t>
      </w:r>
      <w:r w:rsidRPr="00D60185">
        <w:rPr>
          <w:noProof/>
          <w:szCs w:val="22"/>
          <w:lang w:val="en-GB"/>
        </w:rPr>
        <w:t>20</w:t>
      </w:r>
      <w:r w:rsidR="008866C5">
        <w:rPr>
          <w:noProof/>
          <w:szCs w:val="22"/>
          <w:lang w:val="en-GB"/>
        </w:rPr>
        <w:t>.</w:t>
      </w:r>
      <w:r w:rsidRPr="00D60185">
        <w:rPr>
          <w:noProof/>
          <w:szCs w:val="22"/>
          <w:lang w:val="en-GB"/>
        </w:rPr>
        <w:t xml:space="preserve"> doi:10.1136/jech.2008.081737</w:t>
      </w:r>
      <w:bookmarkEnd w:id="35"/>
    </w:p>
    <w:p w:rsidR="000742A8" w:rsidRPr="00D60185" w:rsidRDefault="000742A8" w:rsidP="00A45DBE">
      <w:pPr>
        <w:spacing w:line="360" w:lineRule="auto"/>
        <w:ind w:left="720" w:hanging="720"/>
        <w:jc w:val="both"/>
        <w:rPr>
          <w:noProof/>
          <w:szCs w:val="22"/>
          <w:lang w:val="en-GB"/>
        </w:rPr>
      </w:pPr>
      <w:bookmarkStart w:id="36" w:name="_ENREF_36"/>
      <w:r w:rsidRPr="00D60185">
        <w:rPr>
          <w:noProof/>
          <w:szCs w:val="22"/>
          <w:lang w:val="en-GB"/>
        </w:rPr>
        <w:t>Strand BH, et al. (2007) The reversed social gradient: higher breast cancer mortality in the higher educated compared to lower educated. A comparison of 11 European populations du</w:t>
      </w:r>
      <w:r w:rsidR="008866C5">
        <w:rPr>
          <w:noProof/>
          <w:szCs w:val="22"/>
          <w:lang w:val="en-GB"/>
        </w:rPr>
        <w:t>ring the 1990s. Eur J Cancer 43</w:t>
      </w:r>
      <w:r w:rsidRPr="00D60185">
        <w:rPr>
          <w:noProof/>
          <w:szCs w:val="22"/>
          <w:lang w:val="en-GB"/>
        </w:rPr>
        <w:t>:1200-7</w:t>
      </w:r>
      <w:r w:rsidR="008866C5">
        <w:rPr>
          <w:noProof/>
          <w:szCs w:val="22"/>
          <w:lang w:val="en-GB"/>
        </w:rPr>
        <w:t>.</w:t>
      </w:r>
      <w:r w:rsidRPr="00D60185">
        <w:rPr>
          <w:noProof/>
          <w:szCs w:val="22"/>
          <w:lang w:val="en-GB"/>
        </w:rPr>
        <w:t xml:space="preserve"> doi:10.1016/j.ejca.2007.01.021</w:t>
      </w:r>
      <w:bookmarkEnd w:id="36"/>
    </w:p>
    <w:p w:rsidR="000742A8" w:rsidRPr="00D60185" w:rsidRDefault="000742A8" w:rsidP="00A45DBE">
      <w:pPr>
        <w:spacing w:line="360" w:lineRule="auto"/>
        <w:ind w:left="720" w:hanging="720"/>
        <w:jc w:val="both"/>
        <w:rPr>
          <w:noProof/>
          <w:szCs w:val="22"/>
          <w:lang w:val="en-GB"/>
        </w:rPr>
      </w:pPr>
      <w:bookmarkStart w:id="37" w:name="_ENREF_37"/>
      <w:r w:rsidRPr="00D60185">
        <w:rPr>
          <w:noProof/>
          <w:szCs w:val="22"/>
          <w:lang w:val="en-GB"/>
        </w:rPr>
        <w:t>van der A DL, Nooyens AC, van Duijnhoven FJ, Verschuren MM, Boer JM (2013) All-cause mortality risk of metabolically healthy abdominal obese individuals: The EPIC-MORGEN study. Obesity (Silver Spring)</w:t>
      </w:r>
      <w:r w:rsidR="008866C5">
        <w:rPr>
          <w:noProof/>
          <w:szCs w:val="22"/>
          <w:lang w:val="en-GB"/>
        </w:rPr>
        <w:t>.</w:t>
      </w:r>
      <w:r w:rsidRPr="00D60185">
        <w:rPr>
          <w:noProof/>
          <w:szCs w:val="22"/>
          <w:lang w:val="en-GB"/>
        </w:rPr>
        <w:t xml:space="preserve"> doi:10.1002/oby.20480</w:t>
      </w:r>
      <w:bookmarkEnd w:id="37"/>
    </w:p>
    <w:p w:rsidR="000742A8" w:rsidRPr="00D60185" w:rsidRDefault="000742A8" w:rsidP="00A45DBE">
      <w:pPr>
        <w:spacing w:line="360" w:lineRule="auto"/>
        <w:ind w:left="720" w:hanging="720"/>
        <w:jc w:val="both"/>
        <w:rPr>
          <w:noProof/>
          <w:szCs w:val="22"/>
          <w:lang w:val="en-GB"/>
        </w:rPr>
      </w:pPr>
      <w:bookmarkStart w:id="38" w:name="_ENREF_38"/>
      <w:r w:rsidRPr="00D60185">
        <w:rPr>
          <w:noProof/>
          <w:szCs w:val="22"/>
          <w:lang w:val="en-GB"/>
        </w:rPr>
        <w:lastRenderedPageBreak/>
        <w:t>van Lenthe FJ, Schrijvers CT, Droomers M, Joung IM, Louwman MJ, Mackenbach JP (2004) Investigating explanations of socio-economic inequalities in health: the Dutch GLOB</w:t>
      </w:r>
      <w:r w:rsidR="008866C5">
        <w:rPr>
          <w:noProof/>
          <w:szCs w:val="22"/>
          <w:lang w:val="en-GB"/>
        </w:rPr>
        <w:t>E study. Eur J Public Health 14</w:t>
      </w:r>
      <w:r w:rsidRPr="00D60185">
        <w:rPr>
          <w:noProof/>
          <w:szCs w:val="22"/>
          <w:lang w:val="en-GB"/>
        </w:rPr>
        <w:t xml:space="preserve">:63-70 </w:t>
      </w:r>
      <w:bookmarkEnd w:id="38"/>
    </w:p>
    <w:p w:rsidR="000742A8" w:rsidRPr="00D60185" w:rsidRDefault="000742A8" w:rsidP="00A45DBE">
      <w:pPr>
        <w:spacing w:line="360" w:lineRule="auto"/>
        <w:ind w:left="720" w:hanging="720"/>
        <w:jc w:val="both"/>
        <w:rPr>
          <w:noProof/>
          <w:szCs w:val="22"/>
        </w:rPr>
      </w:pPr>
      <w:bookmarkStart w:id="39" w:name="_ENREF_39"/>
      <w:r w:rsidRPr="00D60185">
        <w:rPr>
          <w:noProof/>
          <w:szCs w:val="22"/>
          <w:lang w:val="en-GB"/>
        </w:rPr>
        <w:t xml:space="preserve">van Oort FV, van Lenthe FJ, Mackenbach JP (2005) Material, psychosocial, and behavioural factors in the explanation of educational inequalities in mortality in The Netherlands. </w:t>
      </w:r>
      <w:r w:rsidRPr="00D60185">
        <w:rPr>
          <w:noProof/>
          <w:szCs w:val="22"/>
        </w:rPr>
        <w:t>J Epidemiol Community Health 59:214-</w:t>
      </w:r>
      <w:r w:rsidR="008866C5">
        <w:rPr>
          <w:noProof/>
          <w:szCs w:val="22"/>
        </w:rPr>
        <w:t>2</w:t>
      </w:r>
      <w:r w:rsidRPr="00D60185">
        <w:rPr>
          <w:noProof/>
          <w:szCs w:val="22"/>
        </w:rPr>
        <w:t>20</w:t>
      </w:r>
      <w:r w:rsidR="008866C5">
        <w:rPr>
          <w:noProof/>
          <w:szCs w:val="22"/>
        </w:rPr>
        <w:t>.</w:t>
      </w:r>
      <w:r w:rsidRPr="00D60185">
        <w:rPr>
          <w:noProof/>
          <w:szCs w:val="22"/>
        </w:rPr>
        <w:t xml:space="preserve"> doi:10.1136/jech.2003.016493</w:t>
      </w:r>
      <w:bookmarkEnd w:id="39"/>
    </w:p>
    <w:p w:rsidR="000742A8" w:rsidRPr="00D60185" w:rsidRDefault="000742A8" w:rsidP="00A45DBE">
      <w:pPr>
        <w:spacing w:line="360" w:lineRule="auto"/>
        <w:ind w:left="720" w:hanging="720"/>
        <w:jc w:val="both"/>
        <w:rPr>
          <w:noProof/>
          <w:szCs w:val="22"/>
          <w:lang w:val="en-GB"/>
        </w:rPr>
      </w:pPr>
      <w:bookmarkStart w:id="40" w:name="_ENREF_40"/>
      <w:r w:rsidRPr="00D60185">
        <w:rPr>
          <w:noProof/>
          <w:szCs w:val="22"/>
        </w:rPr>
        <w:t xml:space="preserve">Visscher G (1997) De blinde vlek van het CBS: systematische vertekening in het opleidingsniveau. </w:t>
      </w:r>
      <w:r w:rsidRPr="00D60185">
        <w:rPr>
          <w:noProof/>
          <w:szCs w:val="22"/>
          <w:lang w:val="en-GB"/>
        </w:rPr>
        <w:t xml:space="preserve">De nonrespons in de Enquête Beroepsbevolking. [Bias in the level of education: The Dutch case]. Sociologische gids 44:155-179 </w:t>
      </w:r>
      <w:bookmarkEnd w:id="40"/>
    </w:p>
    <w:p w:rsidR="000742A8" w:rsidRDefault="000742A8" w:rsidP="008814FB">
      <w:pPr>
        <w:spacing w:line="360" w:lineRule="auto"/>
        <w:rPr>
          <w:noProof/>
          <w:szCs w:val="22"/>
          <w:lang w:val="en-GB"/>
        </w:rPr>
      </w:pPr>
    </w:p>
    <w:p w:rsidR="000742A8" w:rsidRPr="00D0139E" w:rsidRDefault="000742A8" w:rsidP="0072035F">
      <w:pPr>
        <w:spacing w:line="360" w:lineRule="auto"/>
        <w:rPr>
          <w:sz w:val="22"/>
          <w:szCs w:val="22"/>
          <w:lang w:val="en-GB"/>
        </w:rPr>
        <w:sectPr w:rsidR="000742A8" w:rsidRPr="00D0139E" w:rsidSect="0072035F">
          <w:pgSz w:w="11906" w:h="16838" w:code="9"/>
          <w:pgMar w:top="1418" w:right="1418" w:bottom="1418" w:left="1418" w:header="709" w:footer="709" w:gutter="0"/>
          <w:cols w:space="708"/>
          <w:docGrid w:linePitch="360"/>
        </w:sectPr>
      </w:pPr>
    </w:p>
    <w:p w:rsidR="000742A8" w:rsidRPr="00D0139E" w:rsidRDefault="004B276F" w:rsidP="0072035F">
      <w:pPr>
        <w:pStyle w:val="Caption"/>
        <w:keepNext/>
        <w:rPr>
          <w:sz w:val="22"/>
          <w:szCs w:val="22"/>
          <w:lang w:val="en-GB"/>
        </w:rPr>
      </w:pPr>
      <w:r>
        <w:rPr>
          <w:sz w:val="22"/>
          <w:szCs w:val="22"/>
          <w:lang w:val="en-GB"/>
        </w:rPr>
        <w:lastRenderedPageBreak/>
        <w:t>Table 1</w:t>
      </w:r>
      <w:r w:rsidR="000742A8" w:rsidRPr="00D0139E">
        <w:rPr>
          <w:sz w:val="22"/>
          <w:szCs w:val="22"/>
          <w:lang w:val="en-GB"/>
        </w:rPr>
        <w:t xml:space="preserve"> Hazard ratios (HR), 95% confidence intervals (95% CI) and number of deaths (D) for total and cause-specific mortality (reference category = tertiary education), men and women, 30–79 years,</w:t>
      </w:r>
      <w:r>
        <w:rPr>
          <w:sz w:val="22"/>
          <w:szCs w:val="22"/>
          <w:lang w:val="en-GB"/>
        </w:rPr>
        <w:t xml:space="preserve"> the Netherlands, 1998–2007</w:t>
      </w:r>
    </w:p>
    <w:p w:rsidR="000742A8" w:rsidRPr="00D0139E" w:rsidRDefault="000742A8" w:rsidP="0072035F">
      <w:pPr>
        <w:spacing w:line="360" w:lineRule="auto"/>
        <w:jc w:val="both"/>
        <w:rPr>
          <w:b/>
          <w:sz w:val="4"/>
          <w:szCs w:val="4"/>
          <w:lang w:val="en-GB"/>
        </w:rPr>
      </w:pPr>
    </w:p>
    <w:tbl>
      <w:tblPr>
        <w:tblW w:w="1474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9"/>
        <w:gridCol w:w="866"/>
        <w:gridCol w:w="1444"/>
        <w:gridCol w:w="721"/>
        <w:gridCol w:w="867"/>
        <w:gridCol w:w="1443"/>
        <w:gridCol w:w="722"/>
        <w:gridCol w:w="867"/>
        <w:gridCol w:w="1443"/>
        <w:gridCol w:w="867"/>
        <w:gridCol w:w="866"/>
        <w:gridCol w:w="1010"/>
        <w:gridCol w:w="867"/>
      </w:tblGrid>
      <w:tr w:rsidR="000742A8" w:rsidRPr="00D0139E" w:rsidTr="0072035F">
        <w:trPr>
          <w:trHeight w:val="300"/>
        </w:trPr>
        <w:tc>
          <w:tcPr>
            <w:tcW w:w="2759" w:type="dxa"/>
            <w:vMerge w:val="restart"/>
            <w:shd w:val="clear" w:color="auto" w:fill="auto"/>
            <w:noWrap/>
            <w:vAlign w:val="center"/>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Causes of death</w:t>
            </w:r>
          </w:p>
        </w:tc>
        <w:tc>
          <w:tcPr>
            <w:tcW w:w="11983" w:type="dxa"/>
            <w:gridSpan w:val="12"/>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Education</w:t>
            </w:r>
          </w:p>
        </w:tc>
      </w:tr>
      <w:tr w:rsidR="000742A8" w:rsidRPr="00D0139E" w:rsidTr="0072035F">
        <w:trPr>
          <w:trHeight w:val="300"/>
        </w:trPr>
        <w:tc>
          <w:tcPr>
            <w:tcW w:w="2759" w:type="dxa"/>
            <w:vMerge/>
            <w:vAlign w:val="center"/>
            <w:hideMark/>
          </w:tcPr>
          <w:p w:rsidR="000742A8" w:rsidRPr="00D0139E" w:rsidRDefault="000742A8" w:rsidP="0072035F">
            <w:pPr>
              <w:rPr>
                <w:b/>
                <w:bCs/>
                <w:color w:val="000000"/>
                <w:sz w:val="21"/>
                <w:szCs w:val="21"/>
                <w:lang w:val="en-GB" w:eastAsia="en-US"/>
              </w:rPr>
            </w:pPr>
          </w:p>
        </w:tc>
        <w:tc>
          <w:tcPr>
            <w:tcW w:w="3031" w:type="dxa"/>
            <w:gridSpan w:val="3"/>
            <w:shd w:val="clear" w:color="auto" w:fill="auto"/>
            <w:noWrap/>
            <w:vAlign w:val="bottom"/>
            <w:hideMark/>
          </w:tcPr>
          <w:p w:rsidR="000742A8" w:rsidRPr="00D0139E" w:rsidRDefault="000742A8" w:rsidP="00895FD3">
            <w:pPr>
              <w:jc w:val="center"/>
              <w:rPr>
                <w:b/>
                <w:bCs/>
                <w:color w:val="000000"/>
                <w:sz w:val="21"/>
                <w:szCs w:val="21"/>
                <w:lang w:val="en-GB" w:eastAsia="en-US"/>
              </w:rPr>
            </w:pPr>
            <w:proofErr w:type="spellStart"/>
            <w:r w:rsidRPr="00D0139E">
              <w:rPr>
                <w:b/>
                <w:bCs/>
                <w:color w:val="000000"/>
                <w:sz w:val="21"/>
                <w:szCs w:val="21"/>
                <w:lang w:val="en-GB" w:eastAsia="en-US"/>
              </w:rPr>
              <w:t>Primary</w:t>
            </w:r>
            <w:r w:rsidR="00895FD3">
              <w:rPr>
                <w:b/>
                <w:bCs/>
                <w:color w:val="000000"/>
                <w:sz w:val="21"/>
                <w:szCs w:val="21"/>
                <w:vertAlign w:val="superscript"/>
                <w:lang w:val="en-GB" w:eastAsia="en-US"/>
              </w:rPr>
              <w:t>a</w:t>
            </w:r>
            <w:proofErr w:type="spellEnd"/>
          </w:p>
        </w:tc>
        <w:tc>
          <w:tcPr>
            <w:tcW w:w="3032" w:type="dxa"/>
            <w:gridSpan w:val="3"/>
            <w:shd w:val="clear" w:color="auto" w:fill="auto"/>
            <w:noWrap/>
            <w:vAlign w:val="bottom"/>
            <w:hideMark/>
          </w:tcPr>
          <w:p w:rsidR="000742A8" w:rsidRPr="00D0139E" w:rsidRDefault="000742A8" w:rsidP="00895FD3">
            <w:pPr>
              <w:jc w:val="center"/>
              <w:rPr>
                <w:b/>
                <w:bCs/>
                <w:color w:val="000000"/>
                <w:sz w:val="21"/>
                <w:szCs w:val="21"/>
                <w:lang w:val="en-GB" w:eastAsia="en-US"/>
              </w:rPr>
            </w:pPr>
            <w:r w:rsidRPr="00D0139E">
              <w:rPr>
                <w:b/>
                <w:bCs/>
                <w:color w:val="000000"/>
                <w:sz w:val="21"/>
                <w:szCs w:val="21"/>
                <w:lang w:val="en-GB" w:eastAsia="en-US"/>
              </w:rPr>
              <w:t xml:space="preserve">Lower </w:t>
            </w:r>
            <w:proofErr w:type="spellStart"/>
            <w:r w:rsidRPr="00D0139E">
              <w:rPr>
                <w:b/>
                <w:bCs/>
                <w:color w:val="000000"/>
                <w:sz w:val="21"/>
                <w:szCs w:val="21"/>
                <w:lang w:val="en-GB" w:eastAsia="en-US"/>
              </w:rPr>
              <w:t>secondary</w:t>
            </w:r>
            <w:r w:rsidR="00895FD3">
              <w:rPr>
                <w:b/>
                <w:bCs/>
                <w:color w:val="000000"/>
                <w:sz w:val="21"/>
                <w:szCs w:val="21"/>
                <w:vertAlign w:val="superscript"/>
                <w:lang w:val="en-GB" w:eastAsia="en-US"/>
              </w:rPr>
              <w:t>b</w:t>
            </w:r>
            <w:proofErr w:type="spellEnd"/>
          </w:p>
        </w:tc>
        <w:tc>
          <w:tcPr>
            <w:tcW w:w="3177" w:type="dxa"/>
            <w:gridSpan w:val="3"/>
            <w:shd w:val="clear" w:color="auto" w:fill="auto"/>
            <w:noWrap/>
            <w:vAlign w:val="bottom"/>
            <w:hideMark/>
          </w:tcPr>
          <w:p w:rsidR="000742A8" w:rsidRPr="00D0139E" w:rsidRDefault="000742A8" w:rsidP="00895FD3">
            <w:pPr>
              <w:jc w:val="center"/>
              <w:rPr>
                <w:b/>
                <w:bCs/>
                <w:color w:val="000000"/>
                <w:sz w:val="21"/>
                <w:szCs w:val="21"/>
                <w:lang w:val="en-GB" w:eastAsia="en-US"/>
              </w:rPr>
            </w:pPr>
            <w:r w:rsidRPr="00D0139E">
              <w:rPr>
                <w:b/>
                <w:bCs/>
                <w:color w:val="000000"/>
                <w:sz w:val="21"/>
                <w:szCs w:val="21"/>
                <w:lang w:val="en-GB" w:eastAsia="en-US"/>
              </w:rPr>
              <w:t xml:space="preserve">Upper </w:t>
            </w:r>
            <w:proofErr w:type="spellStart"/>
            <w:r w:rsidRPr="00D0139E">
              <w:rPr>
                <w:b/>
                <w:bCs/>
                <w:color w:val="000000"/>
                <w:sz w:val="21"/>
                <w:szCs w:val="21"/>
                <w:lang w:val="en-GB" w:eastAsia="en-US"/>
              </w:rPr>
              <w:t>secondary</w:t>
            </w:r>
            <w:r w:rsidR="00895FD3">
              <w:rPr>
                <w:b/>
                <w:bCs/>
                <w:color w:val="000000"/>
                <w:sz w:val="21"/>
                <w:szCs w:val="21"/>
                <w:vertAlign w:val="superscript"/>
                <w:lang w:val="en-GB" w:eastAsia="en-US"/>
              </w:rPr>
              <w:t>c</w:t>
            </w:r>
            <w:proofErr w:type="spellEnd"/>
          </w:p>
        </w:tc>
        <w:tc>
          <w:tcPr>
            <w:tcW w:w="2743" w:type="dxa"/>
            <w:gridSpan w:val="3"/>
            <w:shd w:val="clear" w:color="auto" w:fill="auto"/>
            <w:noWrap/>
            <w:vAlign w:val="bottom"/>
            <w:hideMark/>
          </w:tcPr>
          <w:p w:rsidR="000742A8" w:rsidRPr="00D0139E" w:rsidRDefault="000742A8" w:rsidP="00895FD3">
            <w:pPr>
              <w:jc w:val="center"/>
              <w:rPr>
                <w:b/>
                <w:bCs/>
                <w:color w:val="000000"/>
                <w:sz w:val="21"/>
                <w:szCs w:val="21"/>
                <w:lang w:val="en-GB" w:eastAsia="en-US"/>
              </w:rPr>
            </w:pPr>
            <w:proofErr w:type="spellStart"/>
            <w:r w:rsidRPr="00D0139E">
              <w:rPr>
                <w:b/>
                <w:bCs/>
                <w:color w:val="000000"/>
                <w:sz w:val="21"/>
                <w:szCs w:val="21"/>
                <w:lang w:val="en-GB" w:eastAsia="en-US"/>
              </w:rPr>
              <w:t>Tertiary</w:t>
            </w:r>
            <w:r w:rsidR="00895FD3">
              <w:rPr>
                <w:b/>
                <w:bCs/>
                <w:color w:val="000000"/>
                <w:sz w:val="21"/>
                <w:szCs w:val="21"/>
                <w:vertAlign w:val="superscript"/>
                <w:lang w:val="en-GB" w:eastAsia="en-US"/>
              </w:rPr>
              <w:t>d</w:t>
            </w:r>
            <w:proofErr w:type="spellEnd"/>
          </w:p>
        </w:tc>
      </w:tr>
      <w:tr w:rsidR="000742A8" w:rsidRPr="00D0139E" w:rsidTr="0072035F">
        <w:trPr>
          <w:trHeight w:val="300"/>
        </w:trPr>
        <w:tc>
          <w:tcPr>
            <w:tcW w:w="2759" w:type="dxa"/>
            <w:vMerge/>
            <w:vAlign w:val="center"/>
            <w:hideMark/>
          </w:tcPr>
          <w:p w:rsidR="000742A8" w:rsidRPr="00D0139E" w:rsidRDefault="000742A8" w:rsidP="0072035F">
            <w:pPr>
              <w:rPr>
                <w:b/>
                <w:bCs/>
                <w:color w:val="000000"/>
                <w:sz w:val="21"/>
                <w:szCs w:val="21"/>
                <w:lang w:val="en-GB" w:eastAsia="en-US"/>
              </w:rPr>
            </w:pPr>
          </w:p>
        </w:tc>
        <w:tc>
          <w:tcPr>
            <w:tcW w:w="866"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HR</w:t>
            </w:r>
          </w:p>
        </w:tc>
        <w:tc>
          <w:tcPr>
            <w:tcW w:w="1444"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95%-CI</w:t>
            </w:r>
          </w:p>
        </w:tc>
        <w:tc>
          <w:tcPr>
            <w:tcW w:w="721"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D</w:t>
            </w:r>
          </w:p>
        </w:tc>
        <w:tc>
          <w:tcPr>
            <w:tcW w:w="867"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HR</w:t>
            </w:r>
          </w:p>
        </w:tc>
        <w:tc>
          <w:tcPr>
            <w:tcW w:w="1443"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95%-CI</w:t>
            </w:r>
          </w:p>
        </w:tc>
        <w:tc>
          <w:tcPr>
            <w:tcW w:w="722"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D</w:t>
            </w:r>
          </w:p>
        </w:tc>
        <w:tc>
          <w:tcPr>
            <w:tcW w:w="867"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HR</w:t>
            </w:r>
          </w:p>
        </w:tc>
        <w:tc>
          <w:tcPr>
            <w:tcW w:w="1443"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95%-CI</w:t>
            </w:r>
          </w:p>
        </w:tc>
        <w:tc>
          <w:tcPr>
            <w:tcW w:w="867"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D</w:t>
            </w:r>
          </w:p>
        </w:tc>
        <w:tc>
          <w:tcPr>
            <w:tcW w:w="866"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HR</w:t>
            </w:r>
          </w:p>
        </w:tc>
        <w:tc>
          <w:tcPr>
            <w:tcW w:w="1010"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95%-CI</w:t>
            </w:r>
          </w:p>
        </w:tc>
        <w:tc>
          <w:tcPr>
            <w:tcW w:w="867"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D</w:t>
            </w:r>
          </w:p>
        </w:tc>
      </w:tr>
      <w:tr w:rsidR="000742A8" w:rsidRPr="00D0139E" w:rsidTr="0072035F">
        <w:trPr>
          <w:trHeight w:val="300"/>
        </w:trPr>
        <w:tc>
          <w:tcPr>
            <w:tcW w:w="2759" w:type="dxa"/>
            <w:shd w:val="clear" w:color="auto" w:fill="auto"/>
            <w:noWrap/>
            <w:vAlign w:val="center"/>
            <w:hideMark/>
          </w:tcPr>
          <w:p w:rsidR="000742A8" w:rsidRPr="00D0139E" w:rsidRDefault="008C1224" w:rsidP="0072035F">
            <w:pPr>
              <w:rPr>
                <w:b/>
                <w:bCs/>
                <w:color w:val="000000"/>
                <w:sz w:val="21"/>
                <w:szCs w:val="21"/>
                <w:lang w:val="en-GB" w:eastAsia="en-US"/>
              </w:rPr>
            </w:pPr>
            <w:r>
              <w:rPr>
                <w:b/>
                <w:bCs/>
                <w:color w:val="000000"/>
                <w:sz w:val="21"/>
                <w:szCs w:val="21"/>
                <w:lang w:val="en-GB" w:eastAsia="en-US"/>
              </w:rPr>
              <w:t>MEN</w:t>
            </w:r>
          </w:p>
        </w:tc>
        <w:tc>
          <w:tcPr>
            <w:tcW w:w="11983" w:type="dxa"/>
            <w:gridSpan w:val="12"/>
            <w:shd w:val="clear" w:color="auto" w:fill="auto"/>
            <w:noWrap/>
            <w:vAlign w:val="bottom"/>
            <w:hideMark/>
          </w:tcPr>
          <w:p w:rsidR="000742A8" w:rsidRPr="00D0139E" w:rsidRDefault="000742A8" w:rsidP="0072035F">
            <w:pPr>
              <w:rPr>
                <w:color w:val="000000"/>
                <w:sz w:val="21"/>
                <w:szCs w:val="21"/>
                <w:lang w:val="en-GB" w:eastAsia="en-US"/>
              </w:rPr>
            </w:pP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All-cause mortality</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1.98</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(1.81–2.15)</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1163</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1.65</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(1.52–1.78)</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1814</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1.32</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(1.22–1.43)</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2153</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949</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Cardiovascular diseases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2.34</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(1.99–2.74)</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379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1.97</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(1.70–2.29)</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599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1.52</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(1.32–1.76)</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671</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255</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Ischemic heart disease</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2.24</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(1.77–2.84)</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2.03</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(1.63–2.52)</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277</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1.53</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(1.24–1.90)</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310</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118</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Cerebrovascular disease</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2.51</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(1.67–3.77)</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63</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2.11</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(1.45–3.08)</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100</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1.95</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(1.35–2.81)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127</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37</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Other cardiovascular disease</w:t>
            </w:r>
            <w:r>
              <w:rPr>
                <w:color w:val="000000"/>
                <w:sz w:val="21"/>
                <w:szCs w:val="21"/>
                <w:lang w:val="en-GB" w:eastAsia="en-US"/>
              </w:rPr>
              <w:t>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2.38</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(1.85–3.07)</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1.87</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(1.47–2.37)</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222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1.35</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(1.07–1.71)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234</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100</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Cancer</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1.60</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(1.39–1.83)</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418</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1.52</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(1.35–1.71)</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731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(1.15–1.45)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924</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417</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Lung cancer</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2.83</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(2.20–3.63)</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174</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2.38</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(1.88–3.00)</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268</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(1.34–2.12)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282</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97</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Colorectal cancer</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0.75</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(0.49–1.15)</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0.80</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(0.57–1.14)</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0.87</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(0.63–1.18)</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98</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66</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Prostate cancer</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1.47</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(0.87–2.48)</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1.72</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(1.09–2.70)</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63</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1.28</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(0.82–2.02)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63</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27</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Other neoplasms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1.34</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(1.10–1.63)</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184</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1.34</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(1.13–1.59)</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338</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1.26</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(1.07–1.47)</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481</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225</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 xml:space="preserve">Respiratory </w:t>
            </w:r>
            <w:r>
              <w:rPr>
                <w:b/>
                <w:bCs/>
                <w:color w:val="000000"/>
                <w:sz w:val="21"/>
                <w:szCs w:val="21"/>
                <w:lang w:val="en-GB" w:eastAsia="en-US"/>
              </w:rPr>
              <w:t>diseases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4.85</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(3.21–7.32)</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103</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3.09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(2.06–4.63)</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(1.18–2.72)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94</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29</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Other diseases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1.85</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(1.52–2.25)</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1.26</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(1.05–1.51)</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274</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1.13</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(0.95–1.35)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372</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193</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External causes of death</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2.10</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(1.43–3.09)</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(1.20–2.37)</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1.03</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(0.74–1.45)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92</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55</w:t>
            </w:r>
          </w:p>
        </w:tc>
      </w:tr>
      <w:tr w:rsidR="008C1224" w:rsidRPr="00D0139E" w:rsidTr="0072035F">
        <w:trPr>
          <w:trHeight w:val="300"/>
        </w:trPr>
        <w:tc>
          <w:tcPr>
            <w:tcW w:w="2759" w:type="dxa"/>
            <w:shd w:val="clear" w:color="auto" w:fill="auto"/>
            <w:noWrap/>
            <w:vAlign w:val="bottom"/>
          </w:tcPr>
          <w:p w:rsidR="008C1224" w:rsidRPr="00D0139E" w:rsidRDefault="008C1224" w:rsidP="0072035F">
            <w:pPr>
              <w:rPr>
                <w:b/>
                <w:bCs/>
                <w:color w:val="000000"/>
                <w:sz w:val="21"/>
                <w:szCs w:val="21"/>
                <w:lang w:val="en-GB" w:eastAsia="en-US"/>
              </w:rPr>
            </w:pPr>
          </w:p>
        </w:tc>
        <w:tc>
          <w:tcPr>
            <w:tcW w:w="866" w:type="dxa"/>
            <w:shd w:val="clear" w:color="auto" w:fill="auto"/>
            <w:noWrap/>
            <w:vAlign w:val="bottom"/>
          </w:tcPr>
          <w:p w:rsidR="008C1224" w:rsidRPr="00D0139E" w:rsidRDefault="008C1224" w:rsidP="0072035F">
            <w:pPr>
              <w:jc w:val="right"/>
              <w:rPr>
                <w:color w:val="000000"/>
                <w:sz w:val="21"/>
                <w:szCs w:val="21"/>
                <w:lang w:val="en-GB" w:eastAsia="en-US"/>
              </w:rPr>
            </w:pPr>
          </w:p>
        </w:tc>
        <w:tc>
          <w:tcPr>
            <w:tcW w:w="1444" w:type="dxa"/>
            <w:shd w:val="clear" w:color="auto" w:fill="auto"/>
            <w:noWrap/>
            <w:vAlign w:val="bottom"/>
          </w:tcPr>
          <w:p w:rsidR="008C1224" w:rsidRPr="00D0139E" w:rsidRDefault="008C1224" w:rsidP="0072035F">
            <w:pPr>
              <w:jc w:val="center"/>
              <w:rPr>
                <w:color w:val="000000"/>
                <w:sz w:val="21"/>
                <w:szCs w:val="21"/>
                <w:lang w:val="en-GB" w:eastAsia="en-US"/>
              </w:rPr>
            </w:pPr>
          </w:p>
        </w:tc>
        <w:tc>
          <w:tcPr>
            <w:tcW w:w="721" w:type="dxa"/>
            <w:shd w:val="clear" w:color="auto" w:fill="auto"/>
            <w:noWrap/>
            <w:vAlign w:val="bottom"/>
          </w:tcPr>
          <w:p w:rsidR="008C1224" w:rsidRPr="00D0139E" w:rsidRDefault="008C1224" w:rsidP="0072035F">
            <w:pPr>
              <w:jc w:val="right"/>
              <w:rPr>
                <w:color w:val="000000"/>
                <w:sz w:val="21"/>
                <w:szCs w:val="21"/>
                <w:lang w:val="en-GB" w:eastAsia="en-US"/>
              </w:rPr>
            </w:pPr>
          </w:p>
        </w:tc>
        <w:tc>
          <w:tcPr>
            <w:tcW w:w="867" w:type="dxa"/>
            <w:shd w:val="clear" w:color="auto" w:fill="auto"/>
            <w:noWrap/>
            <w:vAlign w:val="bottom"/>
          </w:tcPr>
          <w:p w:rsidR="008C1224" w:rsidRPr="00D0139E" w:rsidRDefault="008C1224" w:rsidP="0072035F">
            <w:pPr>
              <w:jc w:val="right"/>
              <w:rPr>
                <w:color w:val="000000"/>
                <w:sz w:val="21"/>
                <w:szCs w:val="21"/>
                <w:lang w:val="en-GB" w:eastAsia="en-US"/>
              </w:rPr>
            </w:pPr>
          </w:p>
        </w:tc>
        <w:tc>
          <w:tcPr>
            <w:tcW w:w="1443" w:type="dxa"/>
            <w:shd w:val="clear" w:color="auto" w:fill="auto"/>
            <w:noWrap/>
            <w:vAlign w:val="bottom"/>
          </w:tcPr>
          <w:p w:rsidR="008C1224" w:rsidRPr="00D0139E" w:rsidRDefault="008C1224" w:rsidP="0072035F">
            <w:pPr>
              <w:jc w:val="center"/>
              <w:rPr>
                <w:color w:val="000000"/>
                <w:sz w:val="21"/>
                <w:szCs w:val="21"/>
                <w:lang w:val="en-GB" w:eastAsia="en-US"/>
              </w:rPr>
            </w:pPr>
          </w:p>
        </w:tc>
        <w:tc>
          <w:tcPr>
            <w:tcW w:w="722" w:type="dxa"/>
            <w:shd w:val="clear" w:color="auto" w:fill="auto"/>
            <w:noWrap/>
            <w:vAlign w:val="bottom"/>
          </w:tcPr>
          <w:p w:rsidR="008C1224" w:rsidRPr="00D0139E" w:rsidRDefault="008C1224" w:rsidP="0072035F">
            <w:pPr>
              <w:jc w:val="right"/>
              <w:rPr>
                <w:color w:val="000000"/>
                <w:sz w:val="21"/>
                <w:szCs w:val="21"/>
                <w:lang w:val="en-GB" w:eastAsia="en-US"/>
              </w:rPr>
            </w:pPr>
          </w:p>
        </w:tc>
        <w:tc>
          <w:tcPr>
            <w:tcW w:w="867" w:type="dxa"/>
            <w:shd w:val="clear" w:color="auto" w:fill="auto"/>
            <w:noWrap/>
            <w:vAlign w:val="bottom"/>
          </w:tcPr>
          <w:p w:rsidR="008C1224" w:rsidRPr="00D0139E" w:rsidRDefault="008C1224" w:rsidP="0072035F">
            <w:pPr>
              <w:jc w:val="right"/>
              <w:rPr>
                <w:color w:val="000000"/>
                <w:sz w:val="21"/>
                <w:szCs w:val="21"/>
                <w:lang w:val="en-GB" w:eastAsia="en-US"/>
              </w:rPr>
            </w:pPr>
          </w:p>
        </w:tc>
        <w:tc>
          <w:tcPr>
            <w:tcW w:w="1443" w:type="dxa"/>
            <w:shd w:val="clear" w:color="auto" w:fill="auto"/>
            <w:noWrap/>
            <w:vAlign w:val="bottom"/>
          </w:tcPr>
          <w:p w:rsidR="008C1224" w:rsidRPr="00D0139E" w:rsidRDefault="008C1224" w:rsidP="0072035F">
            <w:pPr>
              <w:jc w:val="center"/>
              <w:rPr>
                <w:color w:val="000000"/>
                <w:sz w:val="21"/>
                <w:szCs w:val="21"/>
                <w:lang w:val="en-GB" w:eastAsia="en-US"/>
              </w:rPr>
            </w:pPr>
          </w:p>
        </w:tc>
        <w:tc>
          <w:tcPr>
            <w:tcW w:w="867" w:type="dxa"/>
            <w:shd w:val="clear" w:color="auto" w:fill="auto"/>
            <w:noWrap/>
            <w:vAlign w:val="bottom"/>
          </w:tcPr>
          <w:p w:rsidR="008C1224" w:rsidRPr="00D0139E" w:rsidRDefault="008C1224" w:rsidP="0072035F">
            <w:pPr>
              <w:jc w:val="right"/>
              <w:rPr>
                <w:color w:val="000000"/>
                <w:sz w:val="21"/>
                <w:szCs w:val="21"/>
                <w:lang w:val="en-GB" w:eastAsia="en-US"/>
              </w:rPr>
            </w:pPr>
          </w:p>
        </w:tc>
        <w:tc>
          <w:tcPr>
            <w:tcW w:w="866" w:type="dxa"/>
            <w:shd w:val="clear" w:color="auto" w:fill="auto"/>
            <w:noWrap/>
            <w:vAlign w:val="bottom"/>
          </w:tcPr>
          <w:p w:rsidR="008C1224" w:rsidRPr="00D0139E" w:rsidRDefault="008C1224" w:rsidP="0072035F">
            <w:pPr>
              <w:jc w:val="right"/>
              <w:rPr>
                <w:color w:val="000000"/>
                <w:sz w:val="21"/>
                <w:szCs w:val="21"/>
                <w:lang w:val="en-GB" w:eastAsia="en-US"/>
              </w:rPr>
            </w:pPr>
          </w:p>
        </w:tc>
        <w:tc>
          <w:tcPr>
            <w:tcW w:w="1010" w:type="dxa"/>
            <w:shd w:val="clear" w:color="auto" w:fill="auto"/>
            <w:noWrap/>
            <w:vAlign w:val="bottom"/>
          </w:tcPr>
          <w:p w:rsidR="008C1224" w:rsidRPr="00D0139E" w:rsidRDefault="008C1224" w:rsidP="0072035F">
            <w:pPr>
              <w:jc w:val="center"/>
              <w:rPr>
                <w:color w:val="000000"/>
                <w:sz w:val="21"/>
                <w:szCs w:val="21"/>
                <w:lang w:val="en-GB" w:eastAsia="en-US"/>
              </w:rPr>
            </w:pPr>
          </w:p>
        </w:tc>
        <w:tc>
          <w:tcPr>
            <w:tcW w:w="867" w:type="dxa"/>
            <w:shd w:val="clear" w:color="auto" w:fill="auto"/>
            <w:noWrap/>
            <w:vAlign w:val="bottom"/>
          </w:tcPr>
          <w:p w:rsidR="008C1224" w:rsidRPr="00D0139E" w:rsidRDefault="008C1224" w:rsidP="0072035F">
            <w:pPr>
              <w:jc w:val="right"/>
              <w:rPr>
                <w:color w:val="000000"/>
                <w:sz w:val="21"/>
                <w:szCs w:val="21"/>
                <w:lang w:val="en-GB" w:eastAsia="en-US"/>
              </w:rPr>
            </w:pPr>
          </w:p>
        </w:tc>
      </w:tr>
      <w:tr w:rsidR="000742A8" w:rsidRPr="00D0139E" w:rsidTr="0072035F">
        <w:trPr>
          <w:trHeight w:val="300"/>
        </w:trPr>
        <w:tc>
          <w:tcPr>
            <w:tcW w:w="2759" w:type="dxa"/>
            <w:shd w:val="clear" w:color="auto" w:fill="auto"/>
            <w:noWrap/>
            <w:vAlign w:val="center"/>
            <w:hideMark/>
          </w:tcPr>
          <w:p w:rsidR="000742A8" w:rsidRPr="00D0139E" w:rsidRDefault="008C1224" w:rsidP="0072035F">
            <w:pPr>
              <w:rPr>
                <w:b/>
                <w:bCs/>
                <w:color w:val="000000"/>
                <w:sz w:val="21"/>
                <w:szCs w:val="21"/>
                <w:lang w:val="en-GB" w:eastAsia="en-US"/>
              </w:rPr>
            </w:pPr>
            <w:r>
              <w:rPr>
                <w:b/>
                <w:bCs/>
                <w:color w:val="000000"/>
                <w:sz w:val="21"/>
                <w:szCs w:val="21"/>
                <w:lang w:val="en-GB" w:eastAsia="en-US"/>
              </w:rPr>
              <w:t>WOMEN</w:t>
            </w:r>
          </w:p>
        </w:tc>
        <w:tc>
          <w:tcPr>
            <w:tcW w:w="11983" w:type="dxa"/>
            <w:gridSpan w:val="12"/>
            <w:shd w:val="clear" w:color="auto" w:fill="auto"/>
            <w:noWrap/>
            <w:vAlign w:val="bottom"/>
            <w:hideMark/>
          </w:tcPr>
          <w:p w:rsidR="000742A8" w:rsidRPr="00D0139E" w:rsidRDefault="000742A8" w:rsidP="0072035F">
            <w:pPr>
              <w:rPr>
                <w:color w:val="000000"/>
                <w:sz w:val="21"/>
                <w:szCs w:val="21"/>
                <w:lang w:val="en-GB" w:eastAsia="en-US"/>
              </w:rPr>
            </w:pP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All-cause mortality</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2.03</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(1.79–2.30)</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1122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(1.23–1.56)</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1425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1.17</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(1.03–1.33)</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914</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335</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Cardiovascular diseases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3.20</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(2.40–4.27)</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356</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1.92</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(1.44–2.55)</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382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1.47</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(1.09–1.98)</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200</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55</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Ischemic heart disease</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4.06</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(2.44–6.76)</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140</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2.14</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(1.28–3.55)</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1.67</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(0.98–2.83)</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70</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Cerebrovascular disease</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2.32</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(1.36–3.95)</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1.63</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(0.97–2.74)</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1.25</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(0.72–2.15)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52</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Other cardiovascular disease</w:t>
            </w:r>
            <w:r>
              <w:rPr>
                <w:color w:val="000000"/>
                <w:sz w:val="21"/>
                <w:szCs w:val="21"/>
                <w:lang w:val="en-GB" w:eastAsia="en-US"/>
              </w:rPr>
              <w:t>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3.21</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(2.02–5.12)</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137</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1.98</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(1.25–3.14)</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(0.92–2.41)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78</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Cancer</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1.61</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(1.36–1.92)</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449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1.25</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(1.06–1.47)</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663</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1.13</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(0.96–1.34)</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485</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190</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Lung cancer</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3.33</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(2.11–5.26)</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107</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1.92</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(1.22–3.01)</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1.86</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(1.18–2.94)</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95</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Colorectal cancer</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1.67</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(0.89–3.14)</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1.56</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(0.86–2.83)</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70</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1.12</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(0.59–2.11)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35</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lastRenderedPageBreak/>
              <w:t>Breast cancer</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1.12</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(0.81–1.55)</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0.86</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(0.64–1.17)</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136</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0.82</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(0.60–1.11)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115</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65</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Other neoplasms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1.53</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(1.19–1.97)</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(1.02–1.64)</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338</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1.18</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(0.92–1.50)</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240</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89</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 xml:space="preserve">Respiratory </w:t>
            </w:r>
            <w:r>
              <w:rPr>
                <w:b/>
                <w:bCs/>
                <w:color w:val="000000"/>
                <w:sz w:val="21"/>
                <w:szCs w:val="21"/>
                <w:lang w:val="en-GB" w:eastAsia="en-US"/>
              </w:rPr>
              <w:t>diseases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5.07</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(2.33–11.05)</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79</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2.73</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(1.25–5.95)</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76</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(0.51–2.80)</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Other diseases</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1.98</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(1.48–2.64)</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217</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1.30</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(0.98–1.72)</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262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1.05</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(0.78–1.41)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155</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62</w:t>
            </w:r>
          </w:p>
        </w:tc>
      </w:tr>
      <w:tr w:rsidR="000742A8" w:rsidRPr="00D0139E" w:rsidTr="0072035F">
        <w:trPr>
          <w:trHeight w:val="300"/>
        </w:trPr>
        <w:tc>
          <w:tcPr>
            <w:tcW w:w="27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External causes of death</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1.00</w:t>
            </w:r>
          </w:p>
        </w:tc>
        <w:tc>
          <w:tcPr>
            <w:tcW w:w="1444"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(0.54–1.87)</w:t>
            </w:r>
          </w:p>
        </w:tc>
        <w:tc>
          <w:tcPr>
            <w:tcW w:w="7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0.99</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(0.58–1.69)</w:t>
            </w:r>
          </w:p>
        </w:tc>
        <w:tc>
          <w:tcPr>
            <w:tcW w:w="72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42</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1.17</w:t>
            </w:r>
          </w:p>
        </w:tc>
        <w:tc>
          <w:tcPr>
            <w:tcW w:w="1443"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(0.71–1.95)</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53</w:t>
            </w:r>
          </w:p>
        </w:tc>
        <w:tc>
          <w:tcPr>
            <w:tcW w:w="86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w:t>
            </w:r>
          </w:p>
        </w:tc>
        <w:tc>
          <w:tcPr>
            <w:tcW w:w="1010" w:type="dxa"/>
            <w:shd w:val="clear" w:color="auto" w:fill="auto"/>
            <w:noWrap/>
            <w:vAlign w:val="bottom"/>
            <w:hideMark/>
          </w:tcPr>
          <w:p w:rsidR="000742A8" w:rsidRPr="00D0139E" w:rsidRDefault="000742A8" w:rsidP="0072035F">
            <w:pPr>
              <w:jc w:val="center"/>
              <w:rPr>
                <w:color w:val="000000"/>
                <w:sz w:val="21"/>
                <w:szCs w:val="21"/>
                <w:lang w:val="en-GB" w:eastAsia="en-US"/>
              </w:rPr>
            </w:pPr>
            <w:r w:rsidRPr="00D0139E">
              <w:rPr>
                <w:color w:val="000000"/>
                <w:sz w:val="21"/>
                <w:szCs w:val="21"/>
                <w:lang w:val="en-GB" w:eastAsia="en-US"/>
              </w:rPr>
              <w:t>-</w:t>
            </w:r>
          </w:p>
        </w:tc>
        <w:tc>
          <w:tcPr>
            <w:tcW w:w="86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w:t>
            </w:r>
          </w:p>
        </w:tc>
      </w:tr>
    </w:tbl>
    <w:p w:rsidR="000742A8" w:rsidRPr="00E5299D" w:rsidRDefault="000742A8" w:rsidP="0072035F">
      <w:pPr>
        <w:spacing w:line="360" w:lineRule="auto"/>
        <w:rPr>
          <w:sz w:val="6"/>
          <w:szCs w:val="6"/>
          <w:lang w:val="en-GB"/>
        </w:rPr>
      </w:pPr>
    </w:p>
    <w:p w:rsidR="000742A8" w:rsidRDefault="000742A8" w:rsidP="0072035F">
      <w:pPr>
        <w:spacing w:line="360" w:lineRule="auto"/>
        <w:rPr>
          <w:sz w:val="20"/>
          <w:szCs w:val="20"/>
          <w:lang w:val="en-GB"/>
        </w:rPr>
      </w:pPr>
      <w:r>
        <w:rPr>
          <w:sz w:val="20"/>
          <w:szCs w:val="20"/>
          <w:lang w:val="en-GB"/>
        </w:rPr>
        <w:t>The four educational groups were constructed from the different school types in the educational system in the Netherlands.</w:t>
      </w:r>
    </w:p>
    <w:p w:rsidR="000742A8" w:rsidRPr="00DA7911" w:rsidRDefault="00895FD3" w:rsidP="0072035F">
      <w:pPr>
        <w:spacing w:line="360" w:lineRule="auto"/>
        <w:rPr>
          <w:sz w:val="20"/>
          <w:szCs w:val="20"/>
          <w:lang w:val="en-US"/>
        </w:rPr>
      </w:pPr>
      <w:r>
        <w:rPr>
          <w:sz w:val="20"/>
          <w:szCs w:val="20"/>
          <w:vertAlign w:val="superscript"/>
          <w:lang w:val="en-US"/>
        </w:rPr>
        <w:t>a</w:t>
      </w:r>
      <w:r w:rsidR="000742A8" w:rsidRPr="00DA7911">
        <w:rPr>
          <w:sz w:val="20"/>
          <w:szCs w:val="20"/>
          <w:vertAlign w:val="superscript"/>
          <w:lang w:val="en-US"/>
        </w:rPr>
        <w:t xml:space="preserve"> </w:t>
      </w:r>
      <w:r w:rsidR="000742A8">
        <w:rPr>
          <w:sz w:val="20"/>
          <w:szCs w:val="20"/>
          <w:lang w:val="en-GB"/>
        </w:rPr>
        <w:t xml:space="preserve">Primary education includes BO = </w:t>
      </w:r>
      <w:proofErr w:type="spellStart"/>
      <w:r w:rsidR="000742A8" w:rsidRPr="00D60185">
        <w:rPr>
          <w:sz w:val="20"/>
          <w:szCs w:val="20"/>
          <w:lang w:val="en-US"/>
        </w:rPr>
        <w:t>basisonderwijs</w:t>
      </w:r>
      <w:proofErr w:type="spellEnd"/>
      <w:r w:rsidR="000742A8">
        <w:rPr>
          <w:sz w:val="20"/>
          <w:szCs w:val="20"/>
          <w:lang w:val="en-GB"/>
        </w:rPr>
        <w:t xml:space="preserve"> (elementary education)</w:t>
      </w:r>
    </w:p>
    <w:p w:rsidR="000742A8" w:rsidRPr="00DA7911" w:rsidRDefault="00895FD3" w:rsidP="0072035F">
      <w:pPr>
        <w:spacing w:line="360" w:lineRule="auto"/>
        <w:rPr>
          <w:sz w:val="20"/>
          <w:szCs w:val="20"/>
          <w:lang w:val="en-US"/>
        </w:rPr>
      </w:pPr>
      <w:r>
        <w:rPr>
          <w:sz w:val="20"/>
          <w:szCs w:val="20"/>
          <w:vertAlign w:val="superscript"/>
          <w:lang w:val="en-US"/>
        </w:rPr>
        <w:t>b</w:t>
      </w:r>
      <w:r w:rsidR="000742A8" w:rsidRPr="00DA7911">
        <w:rPr>
          <w:sz w:val="20"/>
          <w:szCs w:val="20"/>
          <w:vertAlign w:val="superscript"/>
          <w:lang w:val="en-US"/>
        </w:rPr>
        <w:t xml:space="preserve"> </w:t>
      </w:r>
      <w:r w:rsidR="000742A8">
        <w:rPr>
          <w:sz w:val="20"/>
          <w:szCs w:val="20"/>
          <w:lang w:val="en-GB"/>
        </w:rPr>
        <w:t xml:space="preserve">Lower secondary education includes VMBO = </w:t>
      </w:r>
      <w:proofErr w:type="spellStart"/>
      <w:r w:rsidR="000742A8" w:rsidRPr="00D60185">
        <w:rPr>
          <w:sz w:val="20"/>
          <w:szCs w:val="20"/>
          <w:lang w:val="en-US"/>
        </w:rPr>
        <w:t>voorbereidend</w:t>
      </w:r>
      <w:proofErr w:type="spellEnd"/>
      <w:r w:rsidR="000742A8" w:rsidRPr="00D60185">
        <w:rPr>
          <w:sz w:val="20"/>
          <w:szCs w:val="20"/>
          <w:lang w:val="en-US"/>
        </w:rPr>
        <w:t xml:space="preserve"> </w:t>
      </w:r>
      <w:proofErr w:type="spellStart"/>
      <w:r w:rsidR="000742A8" w:rsidRPr="00D60185">
        <w:rPr>
          <w:sz w:val="20"/>
          <w:szCs w:val="20"/>
          <w:lang w:val="en-US"/>
        </w:rPr>
        <w:t>middelbaar</w:t>
      </w:r>
      <w:proofErr w:type="spellEnd"/>
      <w:r w:rsidR="000742A8" w:rsidRPr="00D60185">
        <w:rPr>
          <w:sz w:val="20"/>
          <w:szCs w:val="20"/>
          <w:lang w:val="en-US"/>
        </w:rPr>
        <w:t xml:space="preserve"> </w:t>
      </w:r>
      <w:proofErr w:type="spellStart"/>
      <w:r w:rsidR="000742A8" w:rsidRPr="00D60185">
        <w:rPr>
          <w:sz w:val="20"/>
          <w:szCs w:val="20"/>
          <w:lang w:val="en-US"/>
        </w:rPr>
        <w:t>beroepsonderwijs</w:t>
      </w:r>
      <w:proofErr w:type="spellEnd"/>
      <w:r w:rsidR="000742A8">
        <w:rPr>
          <w:sz w:val="20"/>
          <w:szCs w:val="20"/>
          <w:lang w:val="en-GB"/>
        </w:rPr>
        <w:t xml:space="preserve"> (pre-vocational secondary education)</w:t>
      </w:r>
    </w:p>
    <w:p w:rsidR="000742A8" w:rsidRPr="00EC3C7A" w:rsidRDefault="00895FD3" w:rsidP="0072035F">
      <w:pPr>
        <w:spacing w:line="360" w:lineRule="auto"/>
        <w:rPr>
          <w:sz w:val="20"/>
          <w:szCs w:val="20"/>
        </w:rPr>
      </w:pPr>
      <w:r w:rsidRPr="00895FD3">
        <w:rPr>
          <w:sz w:val="20"/>
          <w:szCs w:val="20"/>
          <w:vertAlign w:val="superscript"/>
        </w:rPr>
        <w:t>c</w:t>
      </w:r>
      <w:r w:rsidR="000742A8" w:rsidRPr="00EC3C7A">
        <w:rPr>
          <w:sz w:val="20"/>
          <w:szCs w:val="20"/>
          <w:vertAlign w:val="superscript"/>
        </w:rPr>
        <w:t xml:space="preserve"> </w:t>
      </w:r>
      <w:proofErr w:type="spellStart"/>
      <w:r w:rsidR="000742A8" w:rsidRPr="00D60185">
        <w:rPr>
          <w:sz w:val="20"/>
          <w:szCs w:val="20"/>
        </w:rPr>
        <w:t>Upper</w:t>
      </w:r>
      <w:proofErr w:type="spellEnd"/>
      <w:r w:rsidR="000742A8" w:rsidRPr="00D60185">
        <w:rPr>
          <w:sz w:val="20"/>
          <w:szCs w:val="20"/>
        </w:rPr>
        <w:t xml:space="preserve"> </w:t>
      </w:r>
      <w:proofErr w:type="spellStart"/>
      <w:r w:rsidR="000742A8" w:rsidRPr="00D60185">
        <w:rPr>
          <w:sz w:val="20"/>
          <w:szCs w:val="20"/>
        </w:rPr>
        <w:t>secondary</w:t>
      </w:r>
      <w:proofErr w:type="spellEnd"/>
      <w:r w:rsidR="000742A8" w:rsidRPr="00D60185">
        <w:rPr>
          <w:sz w:val="20"/>
          <w:szCs w:val="20"/>
        </w:rPr>
        <w:t xml:space="preserve"> </w:t>
      </w:r>
      <w:proofErr w:type="spellStart"/>
      <w:r w:rsidR="000742A8" w:rsidRPr="00D60185">
        <w:rPr>
          <w:sz w:val="20"/>
          <w:szCs w:val="20"/>
        </w:rPr>
        <w:t>education</w:t>
      </w:r>
      <w:proofErr w:type="spellEnd"/>
      <w:r w:rsidR="000742A8" w:rsidRPr="00D60185">
        <w:rPr>
          <w:sz w:val="20"/>
          <w:szCs w:val="20"/>
        </w:rPr>
        <w:t xml:space="preserve"> </w:t>
      </w:r>
      <w:proofErr w:type="spellStart"/>
      <w:r w:rsidR="000742A8" w:rsidRPr="00D60185">
        <w:rPr>
          <w:sz w:val="20"/>
          <w:szCs w:val="20"/>
        </w:rPr>
        <w:t>includes</w:t>
      </w:r>
      <w:proofErr w:type="spellEnd"/>
      <w:r w:rsidR="000742A8" w:rsidRPr="00EC3C7A">
        <w:rPr>
          <w:sz w:val="20"/>
          <w:szCs w:val="20"/>
        </w:rPr>
        <w:t xml:space="preserve"> HAVO = hoger algemeen voortgezet onderwijs (senior </w:t>
      </w:r>
      <w:proofErr w:type="spellStart"/>
      <w:r w:rsidR="000742A8" w:rsidRPr="00D60185">
        <w:rPr>
          <w:sz w:val="20"/>
          <w:szCs w:val="20"/>
        </w:rPr>
        <w:t>general</w:t>
      </w:r>
      <w:proofErr w:type="spellEnd"/>
      <w:r w:rsidR="000742A8" w:rsidRPr="00D60185">
        <w:rPr>
          <w:sz w:val="20"/>
          <w:szCs w:val="20"/>
        </w:rPr>
        <w:t xml:space="preserve"> </w:t>
      </w:r>
      <w:proofErr w:type="spellStart"/>
      <w:r w:rsidR="000742A8" w:rsidRPr="00D60185">
        <w:rPr>
          <w:sz w:val="20"/>
          <w:szCs w:val="20"/>
        </w:rPr>
        <w:t>secondary</w:t>
      </w:r>
      <w:proofErr w:type="spellEnd"/>
      <w:r w:rsidR="000742A8" w:rsidRPr="00D60185">
        <w:rPr>
          <w:sz w:val="20"/>
          <w:szCs w:val="20"/>
        </w:rPr>
        <w:t xml:space="preserve"> </w:t>
      </w:r>
      <w:proofErr w:type="spellStart"/>
      <w:r w:rsidR="000742A8" w:rsidRPr="00D60185">
        <w:rPr>
          <w:sz w:val="20"/>
          <w:szCs w:val="20"/>
        </w:rPr>
        <w:t>education</w:t>
      </w:r>
      <w:proofErr w:type="spellEnd"/>
      <w:r w:rsidR="000742A8" w:rsidRPr="00EC3C7A">
        <w:rPr>
          <w:sz w:val="20"/>
          <w:szCs w:val="20"/>
        </w:rPr>
        <w:t>), VWO = voorbereidend wetenschappelijk onderwijs (</w:t>
      </w:r>
      <w:r w:rsidR="000742A8" w:rsidRPr="00D60185">
        <w:rPr>
          <w:sz w:val="20"/>
          <w:szCs w:val="20"/>
        </w:rPr>
        <w:t>pre-</w:t>
      </w:r>
      <w:proofErr w:type="spellStart"/>
      <w:r w:rsidR="000742A8" w:rsidRPr="00D60185">
        <w:rPr>
          <w:sz w:val="20"/>
          <w:szCs w:val="20"/>
        </w:rPr>
        <w:t>university</w:t>
      </w:r>
      <w:proofErr w:type="spellEnd"/>
      <w:r w:rsidR="000742A8" w:rsidRPr="00D60185">
        <w:rPr>
          <w:sz w:val="20"/>
          <w:szCs w:val="20"/>
        </w:rPr>
        <w:t xml:space="preserve"> </w:t>
      </w:r>
      <w:proofErr w:type="spellStart"/>
      <w:r w:rsidR="000742A8" w:rsidRPr="00D60185">
        <w:rPr>
          <w:sz w:val="20"/>
          <w:szCs w:val="20"/>
        </w:rPr>
        <w:t>education</w:t>
      </w:r>
      <w:proofErr w:type="spellEnd"/>
      <w:r w:rsidR="000742A8" w:rsidRPr="00EC3C7A">
        <w:rPr>
          <w:sz w:val="20"/>
          <w:szCs w:val="20"/>
        </w:rPr>
        <w:t>), MBO = middelbaar beroepsonderwijs (</w:t>
      </w:r>
      <w:proofErr w:type="spellStart"/>
      <w:r w:rsidR="000742A8" w:rsidRPr="00D60185">
        <w:rPr>
          <w:sz w:val="20"/>
          <w:szCs w:val="20"/>
        </w:rPr>
        <w:t>secondary</w:t>
      </w:r>
      <w:proofErr w:type="spellEnd"/>
      <w:r w:rsidR="000742A8" w:rsidRPr="00D60185">
        <w:rPr>
          <w:sz w:val="20"/>
          <w:szCs w:val="20"/>
        </w:rPr>
        <w:t xml:space="preserve"> </w:t>
      </w:r>
      <w:proofErr w:type="spellStart"/>
      <w:r w:rsidR="000742A8" w:rsidRPr="00D60185">
        <w:rPr>
          <w:sz w:val="20"/>
          <w:szCs w:val="20"/>
        </w:rPr>
        <w:t>vocational</w:t>
      </w:r>
      <w:proofErr w:type="spellEnd"/>
      <w:r w:rsidR="000742A8" w:rsidRPr="00EC3C7A">
        <w:rPr>
          <w:sz w:val="20"/>
          <w:szCs w:val="20"/>
        </w:rPr>
        <w:t xml:space="preserve"> training)</w:t>
      </w:r>
    </w:p>
    <w:p w:rsidR="000742A8" w:rsidRPr="00A2528B" w:rsidRDefault="00895FD3" w:rsidP="0072035F">
      <w:pPr>
        <w:spacing w:line="360" w:lineRule="auto"/>
        <w:rPr>
          <w:sz w:val="20"/>
          <w:szCs w:val="20"/>
          <w:lang w:val="en-GB"/>
        </w:rPr>
      </w:pPr>
      <w:r>
        <w:rPr>
          <w:sz w:val="20"/>
          <w:szCs w:val="20"/>
          <w:vertAlign w:val="superscript"/>
          <w:lang w:val="en-GB"/>
        </w:rPr>
        <w:t>d</w:t>
      </w:r>
      <w:r w:rsidR="000742A8">
        <w:rPr>
          <w:sz w:val="20"/>
          <w:szCs w:val="20"/>
          <w:vertAlign w:val="superscript"/>
          <w:lang w:val="en-GB"/>
        </w:rPr>
        <w:t xml:space="preserve"> </w:t>
      </w:r>
      <w:r w:rsidR="000742A8">
        <w:rPr>
          <w:sz w:val="20"/>
          <w:szCs w:val="20"/>
          <w:lang w:val="en-GB"/>
        </w:rPr>
        <w:t xml:space="preserve">Tertiary education includes HBO = </w:t>
      </w:r>
      <w:proofErr w:type="spellStart"/>
      <w:r w:rsidR="000742A8" w:rsidRPr="00D60185">
        <w:rPr>
          <w:sz w:val="20"/>
          <w:szCs w:val="20"/>
          <w:lang w:val="en-US"/>
        </w:rPr>
        <w:t>hoger</w:t>
      </w:r>
      <w:proofErr w:type="spellEnd"/>
      <w:r w:rsidR="000742A8" w:rsidRPr="00D60185">
        <w:rPr>
          <w:sz w:val="20"/>
          <w:szCs w:val="20"/>
          <w:lang w:val="en-US"/>
        </w:rPr>
        <w:t xml:space="preserve"> </w:t>
      </w:r>
      <w:proofErr w:type="spellStart"/>
      <w:r w:rsidR="000742A8" w:rsidRPr="00D60185">
        <w:rPr>
          <w:sz w:val="20"/>
          <w:szCs w:val="20"/>
          <w:lang w:val="en-US"/>
        </w:rPr>
        <w:t>beroepsonderwijs</w:t>
      </w:r>
      <w:proofErr w:type="spellEnd"/>
      <w:r w:rsidR="000742A8">
        <w:rPr>
          <w:sz w:val="20"/>
          <w:szCs w:val="20"/>
          <w:lang w:val="en-GB"/>
        </w:rPr>
        <w:t xml:space="preserve"> (higher professional education), WO = </w:t>
      </w:r>
      <w:proofErr w:type="spellStart"/>
      <w:r w:rsidR="000742A8" w:rsidRPr="00D60185">
        <w:rPr>
          <w:sz w:val="20"/>
          <w:szCs w:val="20"/>
          <w:lang w:val="en-US"/>
        </w:rPr>
        <w:t>wetenschappelijk</w:t>
      </w:r>
      <w:proofErr w:type="spellEnd"/>
      <w:r w:rsidR="000742A8" w:rsidRPr="00D60185">
        <w:rPr>
          <w:sz w:val="20"/>
          <w:szCs w:val="20"/>
          <w:lang w:val="en-US"/>
        </w:rPr>
        <w:t xml:space="preserve"> </w:t>
      </w:r>
      <w:proofErr w:type="spellStart"/>
      <w:r w:rsidR="000742A8" w:rsidRPr="00D60185">
        <w:rPr>
          <w:sz w:val="20"/>
          <w:szCs w:val="20"/>
          <w:lang w:val="en-US"/>
        </w:rPr>
        <w:t>onderwijs</w:t>
      </w:r>
      <w:proofErr w:type="spellEnd"/>
      <w:r w:rsidR="000742A8">
        <w:rPr>
          <w:sz w:val="20"/>
          <w:szCs w:val="20"/>
          <w:lang w:val="en-GB"/>
        </w:rPr>
        <w:t xml:space="preserve"> (university education)</w:t>
      </w:r>
    </w:p>
    <w:p w:rsidR="000742A8" w:rsidRPr="00D60185" w:rsidRDefault="000742A8" w:rsidP="0072035F">
      <w:pPr>
        <w:pStyle w:val="Caption"/>
        <w:keepNext/>
        <w:spacing w:after="120"/>
        <w:rPr>
          <w:sz w:val="22"/>
          <w:szCs w:val="22"/>
          <w:lang w:val="en-US"/>
        </w:rPr>
      </w:pPr>
    </w:p>
    <w:p w:rsidR="000742A8" w:rsidRPr="00D60185" w:rsidRDefault="000742A8" w:rsidP="0072035F">
      <w:pPr>
        <w:rPr>
          <w:lang w:val="en-US"/>
        </w:rPr>
      </w:pPr>
    </w:p>
    <w:p w:rsidR="000742A8" w:rsidRPr="00D60185" w:rsidRDefault="000742A8" w:rsidP="0072035F">
      <w:pPr>
        <w:rPr>
          <w:lang w:val="en-US"/>
        </w:rPr>
      </w:pPr>
    </w:p>
    <w:p w:rsidR="000742A8" w:rsidRPr="00D60185" w:rsidRDefault="000742A8" w:rsidP="0072035F">
      <w:pPr>
        <w:rPr>
          <w:lang w:val="en-US"/>
        </w:rPr>
      </w:pPr>
    </w:p>
    <w:p w:rsidR="000742A8" w:rsidRPr="00D60185" w:rsidRDefault="000742A8" w:rsidP="0072035F">
      <w:pPr>
        <w:rPr>
          <w:lang w:val="en-US"/>
        </w:rPr>
      </w:pPr>
    </w:p>
    <w:p w:rsidR="000742A8" w:rsidRPr="00D60185" w:rsidRDefault="000742A8" w:rsidP="0072035F">
      <w:pPr>
        <w:rPr>
          <w:lang w:val="en-US"/>
        </w:rPr>
      </w:pPr>
    </w:p>
    <w:p w:rsidR="000742A8" w:rsidRPr="00D60185" w:rsidRDefault="000742A8" w:rsidP="0072035F">
      <w:pPr>
        <w:pStyle w:val="Caption"/>
        <w:keepNext/>
        <w:spacing w:after="120"/>
        <w:rPr>
          <w:sz w:val="22"/>
          <w:szCs w:val="22"/>
          <w:lang w:val="en-US"/>
        </w:rPr>
        <w:sectPr w:rsidR="000742A8" w:rsidRPr="00D60185" w:rsidSect="0072035F">
          <w:pgSz w:w="16838" w:h="11906" w:orient="landscape" w:code="9"/>
          <w:pgMar w:top="1418" w:right="1418" w:bottom="1418" w:left="1418" w:header="709" w:footer="709" w:gutter="0"/>
          <w:cols w:space="708"/>
          <w:docGrid w:linePitch="360"/>
        </w:sectPr>
      </w:pPr>
    </w:p>
    <w:p w:rsidR="000742A8" w:rsidRPr="00D0139E" w:rsidRDefault="000742A8" w:rsidP="0072035F">
      <w:pPr>
        <w:pStyle w:val="Caption"/>
        <w:keepNext/>
        <w:rPr>
          <w:sz w:val="22"/>
          <w:szCs w:val="22"/>
          <w:lang w:val="en-GB"/>
        </w:rPr>
      </w:pPr>
      <w:r w:rsidRPr="00D0139E">
        <w:rPr>
          <w:sz w:val="22"/>
          <w:szCs w:val="22"/>
          <w:lang w:val="en-GB"/>
        </w:rPr>
        <w:lastRenderedPageBreak/>
        <w:t>Table 2 Age-standardized mortality rates by education, rate difference between primary and tertiary educated and population attributable fraction (PAF) for total and cause-specific mortality, men and women, 30–79 ye</w:t>
      </w:r>
      <w:r w:rsidR="0008251E">
        <w:rPr>
          <w:sz w:val="22"/>
          <w:szCs w:val="22"/>
          <w:lang w:val="en-GB"/>
        </w:rPr>
        <w:t>ars, the Netherlands, 1998–2007</w:t>
      </w:r>
      <w:r w:rsidRPr="00D0139E">
        <w:rPr>
          <w:sz w:val="22"/>
          <w:szCs w:val="22"/>
          <w:lang w:val="en-GB"/>
        </w:rPr>
        <w:t xml:space="preserve">             </w:t>
      </w:r>
    </w:p>
    <w:tbl>
      <w:tblPr>
        <w:tblW w:w="965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1153"/>
        <w:gridCol w:w="1288"/>
        <w:gridCol w:w="1338"/>
        <w:gridCol w:w="1019"/>
        <w:gridCol w:w="1204"/>
        <w:gridCol w:w="934"/>
      </w:tblGrid>
      <w:tr w:rsidR="000742A8" w:rsidRPr="00D0139E" w:rsidTr="0072035F">
        <w:trPr>
          <w:trHeight w:val="300"/>
        </w:trPr>
        <w:tc>
          <w:tcPr>
            <w:tcW w:w="2718" w:type="dxa"/>
            <w:vMerge w:val="restart"/>
            <w:shd w:val="clear" w:color="auto" w:fill="auto"/>
            <w:noWrap/>
            <w:vAlign w:val="center"/>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Causes of death</w:t>
            </w:r>
          </w:p>
        </w:tc>
        <w:tc>
          <w:tcPr>
            <w:tcW w:w="4798" w:type="dxa"/>
            <w:gridSpan w:val="4"/>
            <w:shd w:val="clear" w:color="auto" w:fill="auto"/>
            <w:noWrap/>
            <w:vAlign w:val="bottom"/>
            <w:hideMark/>
          </w:tcPr>
          <w:p w:rsidR="000742A8" w:rsidRPr="00D0139E" w:rsidRDefault="000742A8" w:rsidP="00895FD3">
            <w:pPr>
              <w:jc w:val="center"/>
              <w:rPr>
                <w:b/>
                <w:bCs/>
                <w:color w:val="000000"/>
                <w:sz w:val="21"/>
                <w:szCs w:val="21"/>
                <w:lang w:val="en-GB" w:eastAsia="en-US"/>
              </w:rPr>
            </w:pPr>
            <w:r w:rsidRPr="00D0139E">
              <w:rPr>
                <w:b/>
                <w:bCs/>
                <w:color w:val="000000"/>
                <w:sz w:val="21"/>
                <w:szCs w:val="21"/>
                <w:lang w:val="en-GB" w:eastAsia="en-US"/>
              </w:rPr>
              <w:t xml:space="preserve">Mortality rate by </w:t>
            </w:r>
            <w:proofErr w:type="spellStart"/>
            <w:r w:rsidRPr="00D0139E">
              <w:rPr>
                <w:b/>
                <w:bCs/>
                <w:color w:val="000000"/>
                <w:sz w:val="21"/>
                <w:szCs w:val="21"/>
                <w:lang w:val="en-GB" w:eastAsia="en-US"/>
              </w:rPr>
              <w:t>education</w:t>
            </w:r>
            <w:r w:rsidR="00895FD3">
              <w:rPr>
                <w:sz w:val="18"/>
                <w:szCs w:val="18"/>
                <w:vertAlign w:val="superscript"/>
                <w:lang w:val="en-GB"/>
              </w:rPr>
              <w:t>a</w:t>
            </w:r>
            <w:proofErr w:type="spellEnd"/>
          </w:p>
        </w:tc>
        <w:tc>
          <w:tcPr>
            <w:tcW w:w="1204" w:type="dxa"/>
            <w:vMerge w:val="restart"/>
            <w:shd w:val="clear" w:color="auto" w:fill="auto"/>
            <w:vAlign w:val="bottom"/>
            <w:hideMark/>
          </w:tcPr>
          <w:p w:rsidR="000742A8" w:rsidRPr="00D0139E" w:rsidRDefault="000742A8" w:rsidP="00895FD3">
            <w:pPr>
              <w:jc w:val="center"/>
              <w:rPr>
                <w:b/>
                <w:bCs/>
                <w:color w:val="000000"/>
                <w:sz w:val="21"/>
                <w:szCs w:val="21"/>
                <w:lang w:val="en-GB" w:eastAsia="en-US"/>
              </w:rPr>
            </w:pPr>
            <w:r w:rsidRPr="00D0139E">
              <w:rPr>
                <w:b/>
                <w:bCs/>
                <w:color w:val="000000"/>
                <w:sz w:val="21"/>
                <w:szCs w:val="21"/>
                <w:lang w:val="en-GB" w:eastAsia="en-US"/>
              </w:rPr>
              <w:t xml:space="preserve">Mortality rate difference primary vs. </w:t>
            </w:r>
            <w:proofErr w:type="spellStart"/>
            <w:r w:rsidRPr="00D0139E">
              <w:rPr>
                <w:b/>
                <w:bCs/>
                <w:color w:val="000000"/>
                <w:sz w:val="21"/>
                <w:szCs w:val="21"/>
                <w:lang w:val="en-GB" w:eastAsia="en-US"/>
              </w:rPr>
              <w:t>tertiary</w:t>
            </w:r>
            <w:r w:rsidR="00895FD3">
              <w:rPr>
                <w:sz w:val="18"/>
                <w:szCs w:val="18"/>
                <w:vertAlign w:val="superscript"/>
                <w:lang w:val="en-GB"/>
              </w:rPr>
              <w:t>a</w:t>
            </w:r>
            <w:proofErr w:type="spellEnd"/>
          </w:p>
        </w:tc>
        <w:tc>
          <w:tcPr>
            <w:tcW w:w="934" w:type="dxa"/>
            <w:vMerge w:val="restart"/>
            <w:shd w:val="clear" w:color="auto" w:fill="auto"/>
            <w:vAlign w:val="center"/>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PAF        (in %)</w:t>
            </w:r>
          </w:p>
        </w:tc>
      </w:tr>
      <w:tr w:rsidR="000742A8" w:rsidRPr="00D0139E" w:rsidTr="0072035F">
        <w:trPr>
          <w:trHeight w:val="300"/>
        </w:trPr>
        <w:tc>
          <w:tcPr>
            <w:tcW w:w="2718" w:type="dxa"/>
            <w:vMerge/>
            <w:vAlign w:val="center"/>
            <w:hideMark/>
          </w:tcPr>
          <w:p w:rsidR="000742A8" w:rsidRPr="00D0139E" w:rsidRDefault="000742A8" w:rsidP="0072035F">
            <w:pPr>
              <w:rPr>
                <w:b/>
                <w:bCs/>
                <w:color w:val="000000"/>
                <w:sz w:val="21"/>
                <w:szCs w:val="21"/>
                <w:lang w:val="en-GB" w:eastAsia="en-US"/>
              </w:rPr>
            </w:pPr>
          </w:p>
        </w:tc>
        <w:tc>
          <w:tcPr>
            <w:tcW w:w="1153" w:type="dxa"/>
            <w:shd w:val="clear" w:color="auto" w:fill="auto"/>
            <w:noWrap/>
            <w:vAlign w:val="bottom"/>
            <w:hideMark/>
          </w:tcPr>
          <w:p w:rsidR="000742A8" w:rsidRPr="00D0139E" w:rsidRDefault="00850F2C" w:rsidP="0072035F">
            <w:pPr>
              <w:jc w:val="center"/>
              <w:rPr>
                <w:b/>
                <w:bCs/>
                <w:color w:val="000000"/>
                <w:sz w:val="21"/>
                <w:szCs w:val="21"/>
                <w:lang w:val="en-GB" w:eastAsia="en-US"/>
              </w:rPr>
            </w:pPr>
            <w:r>
              <w:rPr>
                <w:b/>
                <w:bCs/>
                <w:color w:val="000000"/>
                <w:sz w:val="21"/>
                <w:szCs w:val="21"/>
                <w:lang w:val="en-GB" w:eastAsia="en-US"/>
              </w:rPr>
              <w:t>P</w:t>
            </w:r>
            <w:r w:rsidR="000742A8" w:rsidRPr="00D0139E">
              <w:rPr>
                <w:b/>
                <w:bCs/>
                <w:color w:val="000000"/>
                <w:sz w:val="21"/>
                <w:szCs w:val="21"/>
                <w:lang w:val="en-GB" w:eastAsia="en-US"/>
              </w:rPr>
              <w:t>rimary</w:t>
            </w:r>
          </w:p>
        </w:tc>
        <w:tc>
          <w:tcPr>
            <w:tcW w:w="1288" w:type="dxa"/>
            <w:shd w:val="clear" w:color="auto" w:fill="auto"/>
            <w:noWrap/>
            <w:vAlign w:val="bottom"/>
            <w:hideMark/>
          </w:tcPr>
          <w:p w:rsidR="000742A8" w:rsidRPr="00D0139E" w:rsidRDefault="00850F2C" w:rsidP="0072035F">
            <w:pPr>
              <w:jc w:val="center"/>
              <w:rPr>
                <w:b/>
                <w:bCs/>
                <w:color w:val="000000"/>
                <w:sz w:val="21"/>
                <w:szCs w:val="21"/>
                <w:lang w:val="en-GB" w:eastAsia="en-US"/>
              </w:rPr>
            </w:pPr>
            <w:r>
              <w:rPr>
                <w:b/>
                <w:bCs/>
                <w:color w:val="000000"/>
                <w:sz w:val="21"/>
                <w:szCs w:val="21"/>
                <w:lang w:val="en-GB" w:eastAsia="en-US"/>
              </w:rPr>
              <w:t>L</w:t>
            </w:r>
            <w:r w:rsidR="000742A8" w:rsidRPr="00D0139E">
              <w:rPr>
                <w:b/>
                <w:bCs/>
                <w:color w:val="000000"/>
                <w:sz w:val="21"/>
                <w:szCs w:val="21"/>
                <w:lang w:val="en-GB" w:eastAsia="en-US"/>
              </w:rPr>
              <w:t>ower secondary</w:t>
            </w:r>
          </w:p>
        </w:tc>
        <w:tc>
          <w:tcPr>
            <w:tcW w:w="1338" w:type="dxa"/>
            <w:shd w:val="clear" w:color="auto" w:fill="auto"/>
            <w:noWrap/>
            <w:vAlign w:val="bottom"/>
            <w:hideMark/>
          </w:tcPr>
          <w:p w:rsidR="000742A8" w:rsidRPr="00D0139E" w:rsidRDefault="00850F2C" w:rsidP="0072035F">
            <w:pPr>
              <w:jc w:val="center"/>
              <w:rPr>
                <w:b/>
                <w:bCs/>
                <w:color w:val="000000"/>
                <w:sz w:val="21"/>
                <w:szCs w:val="21"/>
                <w:lang w:val="en-GB" w:eastAsia="en-US"/>
              </w:rPr>
            </w:pPr>
            <w:r>
              <w:rPr>
                <w:b/>
                <w:bCs/>
                <w:color w:val="000000"/>
                <w:sz w:val="21"/>
                <w:szCs w:val="21"/>
                <w:lang w:val="en-GB" w:eastAsia="en-US"/>
              </w:rPr>
              <w:t>U</w:t>
            </w:r>
            <w:r w:rsidR="000742A8" w:rsidRPr="00D0139E">
              <w:rPr>
                <w:b/>
                <w:bCs/>
                <w:color w:val="000000"/>
                <w:sz w:val="21"/>
                <w:szCs w:val="21"/>
                <w:lang w:val="en-GB" w:eastAsia="en-US"/>
              </w:rPr>
              <w:t>pper secondary</w:t>
            </w:r>
          </w:p>
        </w:tc>
        <w:tc>
          <w:tcPr>
            <w:tcW w:w="1019" w:type="dxa"/>
            <w:shd w:val="clear" w:color="auto" w:fill="auto"/>
            <w:noWrap/>
            <w:vAlign w:val="bottom"/>
            <w:hideMark/>
          </w:tcPr>
          <w:p w:rsidR="000742A8" w:rsidRPr="00D0139E" w:rsidRDefault="00850F2C" w:rsidP="0072035F">
            <w:pPr>
              <w:jc w:val="center"/>
              <w:rPr>
                <w:b/>
                <w:bCs/>
                <w:color w:val="000000"/>
                <w:sz w:val="21"/>
                <w:szCs w:val="21"/>
                <w:lang w:val="en-GB" w:eastAsia="en-US"/>
              </w:rPr>
            </w:pPr>
            <w:r>
              <w:rPr>
                <w:b/>
                <w:bCs/>
                <w:color w:val="000000"/>
                <w:sz w:val="21"/>
                <w:szCs w:val="21"/>
                <w:lang w:val="en-GB" w:eastAsia="en-US"/>
              </w:rPr>
              <w:t>T</w:t>
            </w:r>
            <w:r w:rsidR="000742A8" w:rsidRPr="00D0139E">
              <w:rPr>
                <w:b/>
                <w:bCs/>
                <w:color w:val="000000"/>
                <w:sz w:val="21"/>
                <w:szCs w:val="21"/>
                <w:lang w:val="en-GB" w:eastAsia="en-US"/>
              </w:rPr>
              <w:t>ertiary</w:t>
            </w:r>
          </w:p>
        </w:tc>
        <w:tc>
          <w:tcPr>
            <w:tcW w:w="1204" w:type="dxa"/>
            <w:vMerge/>
            <w:vAlign w:val="center"/>
            <w:hideMark/>
          </w:tcPr>
          <w:p w:rsidR="000742A8" w:rsidRPr="00D0139E" w:rsidRDefault="000742A8" w:rsidP="0072035F">
            <w:pPr>
              <w:rPr>
                <w:b/>
                <w:bCs/>
                <w:color w:val="000000"/>
                <w:sz w:val="21"/>
                <w:szCs w:val="21"/>
                <w:lang w:val="en-GB" w:eastAsia="en-US"/>
              </w:rPr>
            </w:pPr>
          </w:p>
        </w:tc>
        <w:tc>
          <w:tcPr>
            <w:tcW w:w="934" w:type="dxa"/>
            <w:vMerge/>
            <w:vAlign w:val="center"/>
            <w:hideMark/>
          </w:tcPr>
          <w:p w:rsidR="000742A8" w:rsidRPr="00D0139E" w:rsidRDefault="000742A8" w:rsidP="0072035F">
            <w:pPr>
              <w:rPr>
                <w:b/>
                <w:bCs/>
                <w:color w:val="000000"/>
                <w:sz w:val="21"/>
                <w:szCs w:val="21"/>
                <w:lang w:val="en-GB" w:eastAsia="en-US"/>
              </w:rPr>
            </w:pPr>
          </w:p>
        </w:tc>
      </w:tr>
      <w:tr w:rsidR="000742A8" w:rsidRPr="00D0139E" w:rsidTr="0072035F">
        <w:trPr>
          <w:trHeight w:val="300"/>
        </w:trPr>
        <w:tc>
          <w:tcPr>
            <w:tcW w:w="2718" w:type="dxa"/>
            <w:shd w:val="clear" w:color="auto" w:fill="auto"/>
            <w:noWrap/>
            <w:vAlign w:val="center"/>
            <w:hideMark/>
          </w:tcPr>
          <w:p w:rsidR="000742A8" w:rsidRPr="00D0139E" w:rsidRDefault="008C1224" w:rsidP="0072035F">
            <w:pPr>
              <w:rPr>
                <w:b/>
                <w:bCs/>
                <w:color w:val="000000"/>
                <w:sz w:val="21"/>
                <w:szCs w:val="21"/>
                <w:lang w:val="en-GB" w:eastAsia="en-US"/>
              </w:rPr>
            </w:pPr>
            <w:r>
              <w:rPr>
                <w:b/>
                <w:bCs/>
                <w:color w:val="000000"/>
                <w:sz w:val="21"/>
                <w:szCs w:val="21"/>
                <w:lang w:val="en-GB" w:eastAsia="en-US"/>
              </w:rPr>
              <w:t>MEN</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934" w:type="dxa"/>
            <w:shd w:val="clear" w:color="auto" w:fill="auto"/>
            <w:noWrap/>
            <w:vAlign w:val="bottom"/>
            <w:hideMark/>
          </w:tcPr>
          <w:p w:rsidR="000742A8" w:rsidRPr="00D0139E" w:rsidRDefault="000742A8" w:rsidP="0072035F">
            <w:pPr>
              <w:rPr>
                <w:color w:val="000000"/>
                <w:sz w:val="21"/>
                <w:szCs w:val="21"/>
                <w:lang w:val="en-GB" w:eastAsia="en-US"/>
              </w:rPr>
            </w:pP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All-cause mortality</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1094.3</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915.2</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734.1</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547.1</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547.2</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27.8</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Cardiovascular diseases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352.0</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302.6</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236.3</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156.7</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195.3</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36.7</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Ischemic heart disease</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151.1</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139.2</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107.8</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69.2</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81.8</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37.0</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Cerebrovascular disease</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59.9</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51.1</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47.2</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24.9</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35.0</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44.6</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Other cardiovascular disease</w:t>
            </w:r>
            <w:r>
              <w:rPr>
                <w:color w:val="000000"/>
                <w:sz w:val="21"/>
                <w:szCs w:val="21"/>
                <w:lang w:val="en-GB" w:eastAsia="en-US"/>
              </w:rPr>
              <w:t>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141.0</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112.3</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81.3</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62.5</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78.5</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32.9</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Cancer</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385.2</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368.3</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310.9</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235.9</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149.3</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23.2</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Lung cancer</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159.4</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135.2</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95.5</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55.5</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103.9</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44.3</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Colorectal cancer</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28.1</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30.3</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32.0</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38.3</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-10.2</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n.a.</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Prostate cancer</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26.7</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32.3</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24.2</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17.2</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9.5</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24.8</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Other neoplasms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171.0</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169.9</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159.2</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123.6</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47.5</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18.1</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 xml:space="preserve">Respiratory </w:t>
            </w:r>
            <w:r>
              <w:rPr>
                <w:b/>
                <w:bCs/>
                <w:color w:val="000000"/>
                <w:sz w:val="21"/>
                <w:szCs w:val="21"/>
                <w:lang w:val="en-GB" w:eastAsia="en-US"/>
              </w:rPr>
              <w:t>diseases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99.6</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64.7</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36.9</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21.7</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77.9</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54.9</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Other diseases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200.7</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136.5</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123.9</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109.8</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90.9</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17.0</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External causes of death</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56.9</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43.1</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26.1</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23.0</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33.9</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22.4</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934" w:type="dxa"/>
            <w:shd w:val="clear" w:color="auto" w:fill="auto"/>
            <w:noWrap/>
            <w:vAlign w:val="bottom"/>
            <w:hideMark/>
          </w:tcPr>
          <w:p w:rsidR="000742A8" w:rsidRPr="00D0139E" w:rsidRDefault="000742A8" w:rsidP="0072035F">
            <w:pPr>
              <w:rPr>
                <w:color w:val="000000"/>
                <w:sz w:val="21"/>
                <w:szCs w:val="21"/>
                <w:lang w:val="en-GB" w:eastAsia="en-US"/>
              </w:rPr>
            </w:pPr>
          </w:p>
        </w:tc>
      </w:tr>
      <w:tr w:rsidR="000742A8" w:rsidRPr="00D0139E" w:rsidTr="0072035F">
        <w:trPr>
          <w:trHeight w:val="300"/>
        </w:trPr>
        <w:tc>
          <w:tcPr>
            <w:tcW w:w="2718" w:type="dxa"/>
            <w:shd w:val="clear" w:color="auto" w:fill="auto"/>
            <w:noWrap/>
            <w:vAlign w:val="center"/>
            <w:hideMark/>
          </w:tcPr>
          <w:p w:rsidR="000742A8" w:rsidRPr="00D0139E" w:rsidRDefault="008C1224" w:rsidP="0072035F">
            <w:pPr>
              <w:rPr>
                <w:b/>
                <w:bCs/>
                <w:color w:val="000000"/>
                <w:sz w:val="21"/>
                <w:szCs w:val="21"/>
                <w:lang w:val="en-GB" w:eastAsia="en-US"/>
              </w:rPr>
            </w:pPr>
            <w:r>
              <w:rPr>
                <w:b/>
                <w:bCs/>
                <w:color w:val="000000"/>
                <w:sz w:val="21"/>
                <w:szCs w:val="21"/>
                <w:lang w:val="en-GB" w:eastAsia="en-US"/>
              </w:rPr>
              <w:t>WOMEN</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p>
        </w:tc>
        <w:tc>
          <w:tcPr>
            <w:tcW w:w="934" w:type="dxa"/>
            <w:shd w:val="clear" w:color="auto" w:fill="auto"/>
            <w:noWrap/>
            <w:vAlign w:val="bottom"/>
            <w:hideMark/>
          </w:tcPr>
          <w:p w:rsidR="000742A8" w:rsidRPr="00D0139E" w:rsidRDefault="000742A8" w:rsidP="0072035F">
            <w:pPr>
              <w:rPr>
                <w:color w:val="000000"/>
                <w:sz w:val="21"/>
                <w:szCs w:val="21"/>
                <w:lang w:val="en-GB" w:eastAsia="en-US"/>
              </w:rPr>
            </w:pP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All-cause mortality</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663.4</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455.2</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380.7</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342.0</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321.4</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24.9</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Cardiovascular diseases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204.2</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123.0</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96.2</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70.0</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134.2</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43.6</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Ischemic heart disease</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80.9</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41.9</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32.8</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22.7</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58.2</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50.9</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Cerebrovascular disease</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45.1</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31.8</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25.0</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19.4</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25.7</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32.2</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Other cardiovascular disease</w:t>
            </w:r>
            <w:r>
              <w:rPr>
                <w:color w:val="000000"/>
                <w:sz w:val="21"/>
                <w:szCs w:val="21"/>
                <w:lang w:val="en-GB" w:eastAsia="en-US"/>
              </w:rPr>
              <w:t>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78.2</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49.3</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38.4</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28.0</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50.2</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44.5</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Cancer</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272.7</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210.1</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190.6</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174.2</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98.6</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17.5</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Lung cancer</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66.2</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37.5</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37.8</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25.7</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40.5</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48.4</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Colorectal cancer</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23.2</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21.8</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15.7</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11.8</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11.4</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23.8</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Breast cancer</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56.2</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43.8</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41.8</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46.7</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9.5</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n.a.</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color w:val="000000"/>
                <w:sz w:val="21"/>
                <w:szCs w:val="21"/>
                <w:lang w:val="en-GB" w:eastAsia="en-US"/>
              </w:rPr>
            </w:pPr>
            <w:r w:rsidRPr="00D0139E">
              <w:rPr>
                <w:color w:val="000000"/>
                <w:sz w:val="21"/>
                <w:szCs w:val="21"/>
                <w:lang w:val="en-GB" w:eastAsia="en-US"/>
              </w:rPr>
              <w:t>Other neoplasms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127.1</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107.1</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95.3</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89.9</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37.2</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18.8</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 xml:space="preserve">Respiratory </w:t>
            </w:r>
            <w:r>
              <w:rPr>
                <w:b/>
                <w:bCs/>
                <w:color w:val="000000"/>
                <w:sz w:val="21"/>
                <w:szCs w:val="21"/>
                <w:lang w:val="en-GB" w:eastAsia="en-US"/>
              </w:rPr>
              <w:t>diseases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43.5</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23.5</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10.2</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9.1</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34.5</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54.2</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Other diseases</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127.8</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83.9</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66.2</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72.4</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55.4</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20.1</w:t>
            </w:r>
          </w:p>
        </w:tc>
      </w:tr>
      <w:tr w:rsidR="000742A8" w:rsidRPr="00D0139E" w:rsidTr="0072035F">
        <w:trPr>
          <w:trHeight w:val="300"/>
        </w:trPr>
        <w:tc>
          <w:tcPr>
            <w:tcW w:w="2718"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External causes of death</w:t>
            </w:r>
          </w:p>
        </w:tc>
        <w:tc>
          <w:tcPr>
            <w:tcW w:w="115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15.2</w:t>
            </w:r>
          </w:p>
        </w:tc>
        <w:tc>
          <w:tcPr>
            <w:tcW w:w="128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14.7</w:t>
            </w:r>
          </w:p>
        </w:tc>
        <w:tc>
          <w:tcPr>
            <w:tcW w:w="1338"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17.5</w:t>
            </w:r>
          </w:p>
        </w:tc>
        <w:tc>
          <w:tcPr>
            <w:tcW w:w="101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16.4</w:t>
            </w:r>
          </w:p>
        </w:tc>
        <w:tc>
          <w:tcPr>
            <w:tcW w:w="120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w:t>
            </w:r>
          </w:p>
        </w:tc>
        <w:tc>
          <w:tcPr>
            <w:tcW w:w="934"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5.7</w:t>
            </w:r>
          </w:p>
        </w:tc>
      </w:tr>
    </w:tbl>
    <w:p w:rsidR="000742A8" w:rsidRPr="00D0139E" w:rsidRDefault="000742A8" w:rsidP="0072035F">
      <w:pPr>
        <w:spacing w:line="360" w:lineRule="auto"/>
        <w:jc w:val="both"/>
        <w:rPr>
          <w:sz w:val="6"/>
          <w:szCs w:val="6"/>
          <w:vertAlign w:val="superscript"/>
          <w:lang w:val="en-GB"/>
        </w:rPr>
      </w:pPr>
    </w:p>
    <w:p w:rsidR="000742A8" w:rsidRPr="00D0139E" w:rsidRDefault="00895FD3" w:rsidP="0072035F">
      <w:pPr>
        <w:spacing w:line="312" w:lineRule="auto"/>
        <w:jc w:val="both"/>
        <w:rPr>
          <w:sz w:val="18"/>
          <w:szCs w:val="18"/>
          <w:lang w:val="en-GB"/>
        </w:rPr>
      </w:pPr>
      <w:r>
        <w:rPr>
          <w:sz w:val="18"/>
          <w:szCs w:val="18"/>
          <w:vertAlign w:val="superscript"/>
          <w:lang w:val="en-GB"/>
        </w:rPr>
        <w:t>a</w:t>
      </w:r>
      <w:r w:rsidR="000742A8" w:rsidRPr="00D0139E">
        <w:rPr>
          <w:sz w:val="18"/>
          <w:szCs w:val="18"/>
          <w:lang w:val="en-GB"/>
        </w:rPr>
        <w:t xml:space="preserve"> per 100,000 person-years</w:t>
      </w:r>
    </w:p>
    <w:p w:rsidR="000742A8" w:rsidRPr="00D0139E" w:rsidRDefault="000742A8" w:rsidP="0072035F">
      <w:pPr>
        <w:spacing w:line="312" w:lineRule="auto"/>
        <w:jc w:val="both"/>
        <w:rPr>
          <w:sz w:val="18"/>
          <w:szCs w:val="18"/>
          <w:lang w:val="en-GB"/>
        </w:rPr>
      </w:pPr>
      <w:r w:rsidRPr="00D0139E">
        <w:rPr>
          <w:sz w:val="18"/>
          <w:szCs w:val="18"/>
          <w:lang w:val="en-GB"/>
        </w:rPr>
        <w:t>n.a. = not available</w:t>
      </w:r>
    </w:p>
    <w:p w:rsidR="000742A8" w:rsidRPr="00D0139E" w:rsidRDefault="000742A8" w:rsidP="0072035F">
      <w:pPr>
        <w:pStyle w:val="Caption"/>
        <w:keepNext/>
        <w:rPr>
          <w:sz w:val="22"/>
          <w:szCs w:val="22"/>
          <w:lang w:val="en-GB"/>
        </w:rPr>
      </w:pPr>
    </w:p>
    <w:p w:rsidR="000742A8" w:rsidRPr="00D0139E" w:rsidRDefault="000742A8" w:rsidP="0072035F">
      <w:pPr>
        <w:pStyle w:val="Caption"/>
        <w:keepNext/>
        <w:rPr>
          <w:sz w:val="22"/>
          <w:szCs w:val="22"/>
          <w:lang w:val="en-GB"/>
        </w:rPr>
      </w:pPr>
      <w:r w:rsidRPr="00D0139E">
        <w:rPr>
          <w:sz w:val="22"/>
          <w:szCs w:val="22"/>
          <w:lang w:val="en-GB"/>
        </w:rPr>
        <w:t xml:space="preserve">Table 3 Partial life expectancy </w:t>
      </w:r>
      <w:r w:rsidR="001143CE">
        <w:rPr>
          <w:sz w:val="22"/>
          <w:szCs w:val="22"/>
          <w:lang w:val="en-GB"/>
        </w:rPr>
        <w:t xml:space="preserve">(in years) </w:t>
      </w:r>
      <w:r w:rsidRPr="00D0139E">
        <w:rPr>
          <w:sz w:val="22"/>
          <w:szCs w:val="22"/>
          <w:lang w:val="en-GB"/>
        </w:rPr>
        <w:t>between ages 30 and 79 by sex and educat</w:t>
      </w:r>
      <w:r w:rsidR="0008251E">
        <w:rPr>
          <w:sz w:val="22"/>
          <w:szCs w:val="22"/>
          <w:lang w:val="en-GB"/>
        </w:rPr>
        <w:t>ion, the Netherlands, 1998–2007</w:t>
      </w:r>
    </w:p>
    <w:tbl>
      <w:tblPr>
        <w:tblW w:w="907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9"/>
        <w:gridCol w:w="1176"/>
        <w:gridCol w:w="2029"/>
        <w:gridCol w:w="2035"/>
        <w:gridCol w:w="1176"/>
        <w:gridCol w:w="1497"/>
      </w:tblGrid>
      <w:tr w:rsidR="000742A8" w:rsidRPr="00D0139E" w:rsidTr="0072035F">
        <w:trPr>
          <w:trHeight w:val="300"/>
        </w:trPr>
        <w:tc>
          <w:tcPr>
            <w:tcW w:w="1159" w:type="dxa"/>
            <w:vMerge w:val="restart"/>
            <w:shd w:val="clear" w:color="auto" w:fill="auto"/>
            <w:noWrap/>
            <w:vAlign w:val="bottom"/>
            <w:hideMark/>
          </w:tcPr>
          <w:p w:rsidR="000742A8" w:rsidRPr="00D0139E" w:rsidRDefault="000742A8" w:rsidP="0072035F">
            <w:pPr>
              <w:rPr>
                <w:color w:val="000000"/>
                <w:sz w:val="21"/>
                <w:szCs w:val="21"/>
                <w:lang w:val="en-GB" w:eastAsia="en-US"/>
              </w:rPr>
            </w:pPr>
          </w:p>
        </w:tc>
        <w:tc>
          <w:tcPr>
            <w:tcW w:w="6416" w:type="dxa"/>
            <w:gridSpan w:val="4"/>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Education</w:t>
            </w:r>
          </w:p>
        </w:tc>
        <w:tc>
          <w:tcPr>
            <w:tcW w:w="1497" w:type="dxa"/>
            <w:vMerge w:val="restart"/>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Total</w:t>
            </w:r>
          </w:p>
        </w:tc>
      </w:tr>
      <w:tr w:rsidR="000742A8" w:rsidRPr="00D0139E" w:rsidTr="0072035F">
        <w:trPr>
          <w:trHeight w:val="300"/>
        </w:trPr>
        <w:tc>
          <w:tcPr>
            <w:tcW w:w="1159" w:type="dxa"/>
            <w:vMerge/>
            <w:shd w:val="clear" w:color="auto" w:fill="auto"/>
            <w:noWrap/>
            <w:vAlign w:val="bottom"/>
            <w:hideMark/>
          </w:tcPr>
          <w:p w:rsidR="000742A8" w:rsidRPr="00D0139E" w:rsidRDefault="000742A8" w:rsidP="0072035F">
            <w:pPr>
              <w:rPr>
                <w:color w:val="000000"/>
                <w:sz w:val="21"/>
                <w:szCs w:val="21"/>
                <w:lang w:val="en-GB" w:eastAsia="en-US"/>
              </w:rPr>
            </w:pPr>
          </w:p>
        </w:tc>
        <w:tc>
          <w:tcPr>
            <w:tcW w:w="1176"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Primary</w:t>
            </w:r>
          </w:p>
        </w:tc>
        <w:tc>
          <w:tcPr>
            <w:tcW w:w="2029"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Lower secondary</w:t>
            </w:r>
          </w:p>
        </w:tc>
        <w:tc>
          <w:tcPr>
            <w:tcW w:w="2035"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Upper secondary</w:t>
            </w:r>
          </w:p>
        </w:tc>
        <w:tc>
          <w:tcPr>
            <w:tcW w:w="1176"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Tertiary</w:t>
            </w:r>
          </w:p>
        </w:tc>
        <w:tc>
          <w:tcPr>
            <w:tcW w:w="1497" w:type="dxa"/>
            <w:vMerge/>
            <w:vAlign w:val="center"/>
            <w:hideMark/>
          </w:tcPr>
          <w:p w:rsidR="000742A8" w:rsidRPr="00D0139E" w:rsidRDefault="000742A8" w:rsidP="0072035F">
            <w:pPr>
              <w:rPr>
                <w:b/>
                <w:bCs/>
                <w:color w:val="000000"/>
                <w:sz w:val="21"/>
                <w:szCs w:val="21"/>
                <w:lang w:val="en-GB" w:eastAsia="en-US"/>
              </w:rPr>
            </w:pPr>
          </w:p>
        </w:tc>
      </w:tr>
      <w:tr w:rsidR="000742A8" w:rsidRPr="00D0139E" w:rsidTr="0072035F">
        <w:trPr>
          <w:trHeight w:val="300"/>
        </w:trPr>
        <w:tc>
          <w:tcPr>
            <w:tcW w:w="11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Men</w:t>
            </w:r>
          </w:p>
        </w:tc>
        <w:tc>
          <w:tcPr>
            <w:tcW w:w="117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42.8</w:t>
            </w:r>
          </w:p>
        </w:tc>
        <w:tc>
          <w:tcPr>
            <w:tcW w:w="202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44.0</w:t>
            </w:r>
          </w:p>
        </w:tc>
        <w:tc>
          <w:tcPr>
            <w:tcW w:w="2035"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45.1</w:t>
            </w:r>
          </w:p>
        </w:tc>
        <w:tc>
          <w:tcPr>
            <w:tcW w:w="117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46.2</w:t>
            </w:r>
          </w:p>
        </w:tc>
        <w:tc>
          <w:tcPr>
            <w:tcW w:w="149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44.8</w:t>
            </w:r>
          </w:p>
        </w:tc>
      </w:tr>
      <w:tr w:rsidR="000742A8" w:rsidRPr="00D0139E" w:rsidTr="0072035F">
        <w:trPr>
          <w:trHeight w:val="300"/>
        </w:trPr>
        <w:tc>
          <w:tcPr>
            <w:tcW w:w="1159"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Women</w:t>
            </w:r>
          </w:p>
        </w:tc>
        <w:tc>
          <w:tcPr>
            <w:tcW w:w="117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45.1</w:t>
            </w:r>
          </w:p>
        </w:tc>
        <w:tc>
          <w:tcPr>
            <w:tcW w:w="2029"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46.5</w:t>
            </w:r>
          </w:p>
        </w:tc>
        <w:tc>
          <w:tcPr>
            <w:tcW w:w="2035"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47.1</w:t>
            </w:r>
          </w:p>
        </w:tc>
        <w:tc>
          <w:tcPr>
            <w:tcW w:w="1176"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47.5</w:t>
            </w:r>
          </w:p>
        </w:tc>
        <w:tc>
          <w:tcPr>
            <w:tcW w:w="1497"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46.6</w:t>
            </w:r>
          </w:p>
        </w:tc>
      </w:tr>
    </w:tbl>
    <w:p w:rsidR="000742A8" w:rsidRPr="00D0139E" w:rsidRDefault="000742A8" w:rsidP="0072035F">
      <w:pPr>
        <w:pStyle w:val="Caption"/>
        <w:keepNext/>
        <w:rPr>
          <w:sz w:val="22"/>
          <w:szCs w:val="22"/>
          <w:lang w:val="en-GB"/>
        </w:rPr>
      </w:pPr>
      <w:r w:rsidRPr="00D0139E">
        <w:rPr>
          <w:sz w:val="22"/>
          <w:szCs w:val="22"/>
          <w:lang w:val="en-GB"/>
        </w:rPr>
        <w:lastRenderedPageBreak/>
        <w:t>Table 4 Rate difference (per 100,000 person-years) between less than secondary and tertiary educated for total and cause-specific mortality, men and women, 30–79 years</w:t>
      </w:r>
      <w:r>
        <w:rPr>
          <w:sz w:val="22"/>
          <w:szCs w:val="22"/>
          <w:lang w:val="en-GB"/>
        </w:rPr>
        <w:t xml:space="preserve">, </w:t>
      </w:r>
      <w:r w:rsidRPr="00D0139E">
        <w:rPr>
          <w:sz w:val="22"/>
          <w:szCs w:val="22"/>
          <w:lang w:val="en-GB"/>
        </w:rPr>
        <w:t xml:space="preserve">comparison between the Netherlands and European 'regimes', </w:t>
      </w:r>
      <w:r>
        <w:rPr>
          <w:sz w:val="22"/>
          <w:szCs w:val="22"/>
          <w:lang w:val="en-GB"/>
        </w:rPr>
        <w:t>1998–2007</w:t>
      </w:r>
    </w:p>
    <w:tbl>
      <w:tblPr>
        <w:tblW w:w="937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6"/>
        <w:gridCol w:w="1421"/>
        <w:gridCol w:w="993"/>
        <w:gridCol w:w="992"/>
        <w:gridCol w:w="992"/>
        <w:gridCol w:w="992"/>
        <w:gridCol w:w="993"/>
        <w:gridCol w:w="992"/>
      </w:tblGrid>
      <w:tr w:rsidR="000742A8" w:rsidRPr="00D0139E" w:rsidTr="0072035F">
        <w:trPr>
          <w:trHeight w:val="300"/>
        </w:trPr>
        <w:tc>
          <w:tcPr>
            <w:tcW w:w="1996" w:type="dxa"/>
            <w:vMerge w:val="restart"/>
            <w:shd w:val="clear" w:color="auto" w:fill="auto"/>
            <w:vAlign w:val="center"/>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Cause of death</w:t>
            </w:r>
          </w:p>
        </w:tc>
        <w:tc>
          <w:tcPr>
            <w:tcW w:w="1421" w:type="dxa"/>
            <w:vMerge w:val="restart"/>
            <w:shd w:val="clear" w:color="auto" w:fill="auto"/>
            <w:noWrap/>
            <w:vAlign w:val="center"/>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Netherlands</w:t>
            </w:r>
          </w:p>
        </w:tc>
        <w:tc>
          <w:tcPr>
            <w:tcW w:w="1985" w:type="dxa"/>
            <w:gridSpan w:val="2"/>
            <w:shd w:val="clear" w:color="auto" w:fill="auto"/>
            <w:noWrap/>
            <w:vAlign w:val="bottom"/>
            <w:hideMark/>
          </w:tcPr>
          <w:p w:rsidR="000742A8" w:rsidRPr="0074337A" w:rsidRDefault="000742A8" w:rsidP="00895FD3">
            <w:pPr>
              <w:jc w:val="center"/>
              <w:rPr>
                <w:b/>
                <w:bCs/>
                <w:color w:val="000000"/>
                <w:sz w:val="21"/>
                <w:szCs w:val="21"/>
                <w:vertAlign w:val="superscript"/>
                <w:lang w:val="en-GB" w:eastAsia="en-US"/>
              </w:rPr>
            </w:pPr>
            <w:r w:rsidRPr="00D0139E">
              <w:rPr>
                <w:b/>
                <w:bCs/>
                <w:color w:val="000000"/>
                <w:sz w:val="21"/>
                <w:szCs w:val="21"/>
                <w:lang w:val="en-GB" w:eastAsia="en-US"/>
              </w:rPr>
              <w:t>North-</w:t>
            </w:r>
            <w:proofErr w:type="spellStart"/>
            <w:r w:rsidRPr="00D0139E">
              <w:rPr>
                <w:b/>
                <w:bCs/>
                <w:color w:val="000000"/>
                <w:sz w:val="21"/>
                <w:szCs w:val="21"/>
                <w:lang w:val="en-GB" w:eastAsia="en-US"/>
              </w:rPr>
              <w:t>West</w:t>
            </w:r>
            <w:r w:rsidR="00895FD3">
              <w:rPr>
                <w:b/>
                <w:bCs/>
                <w:color w:val="000000"/>
                <w:sz w:val="21"/>
                <w:szCs w:val="21"/>
                <w:vertAlign w:val="superscript"/>
                <w:lang w:val="en-GB" w:eastAsia="en-US"/>
              </w:rPr>
              <w:t>a</w:t>
            </w:r>
            <w:proofErr w:type="spellEnd"/>
          </w:p>
        </w:tc>
        <w:tc>
          <w:tcPr>
            <w:tcW w:w="1984" w:type="dxa"/>
            <w:gridSpan w:val="2"/>
            <w:shd w:val="clear" w:color="auto" w:fill="auto"/>
            <w:noWrap/>
            <w:vAlign w:val="bottom"/>
            <w:hideMark/>
          </w:tcPr>
          <w:p w:rsidR="000742A8" w:rsidRPr="0074337A" w:rsidRDefault="000742A8" w:rsidP="00895FD3">
            <w:pPr>
              <w:jc w:val="center"/>
              <w:rPr>
                <w:b/>
                <w:bCs/>
                <w:color w:val="000000"/>
                <w:sz w:val="21"/>
                <w:szCs w:val="21"/>
                <w:vertAlign w:val="superscript"/>
                <w:lang w:val="en-GB" w:eastAsia="en-US"/>
              </w:rPr>
            </w:pPr>
            <w:proofErr w:type="spellStart"/>
            <w:r w:rsidRPr="00D0139E">
              <w:rPr>
                <w:b/>
                <w:bCs/>
                <w:color w:val="000000"/>
                <w:sz w:val="21"/>
                <w:szCs w:val="21"/>
                <w:lang w:val="en-GB" w:eastAsia="en-US"/>
              </w:rPr>
              <w:t>South</w:t>
            </w:r>
            <w:r w:rsidR="00895FD3">
              <w:rPr>
                <w:b/>
                <w:bCs/>
                <w:color w:val="000000"/>
                <w:sz w:val="21"/>
                <w:szCs w:val="21"/>
                <w:vertAlign w:val="superscript"/>
                <w:lang w:val="en-GB" w:eastAsia="en-US"/>
              </w:rPr>
              <w:t>b</w:t>
            </w:r>
            <w:proofErr w:type="spellEnd"/>
          </w:p>
        </w:tc>
        <w:tc>
          <w:tcPr>
            <w:tcW w:w="1985" w:type="dxa"/>
            <w:gridSpan w:val="2"/>
            <w:shd w:val="clear" w:color="auto" w:fill="auto"/>
            <w:noWrap/>
            <w:vAlign w:val="bottom"/>
            <w:hideMark/>
          </w:tcPr>
          <w:p w:rsidR="000742A8" w:rsidRPr="0074337A" w:rsidRDefault="000742A8" w:rsidP="00895FD3">
            <w:pPr>
              <w:jc w:val="center"/>
              <w:rPr>
                <w:b/>
                <w:bCs/>
                <w:color w:val="000000"/>
                <w:sz w:val="21"/>
                <w:szCs w:val="21"/>
                <w:vertAlign w:val="superscript"/>
                <w:lang w:val="en-GB" w:eastAsia="en-US"/>
              </w:rPr>
            </w:pPr>
            <w:r>
              <w:rPr>
                <w:b/>
                <w:bCs/>
                <w:color w:val="000000"/>
                <w:sz w:val="21"/>
                <w:szCs w:val="21"/>
                <w:lang w:val="en-GB" w:eastAsia="en-US"/>
              </w:rPr>
              <w:t>Central/</w:t>
            </w:r>
            <w:proofErr w:type="spellStart"/>
            <w:r w:rsidRPr="00D0139E">
              <w:rPr>
                <w:b/>
                <w:bCs/>
                <w:color w:val="000000"/>
                <w:sz w:val="21"/>
                <w:szCs w:val="21"/>
                <w:lang w:val="en-GB" w:eastAsia="en-US"/>
              </w:rPr>
              <w:t>East</w:t>
            </w:r>
            <w:r w:rsidR="00895FD3">
              <w:rPr>
                <w:b/>
                <w:bCs/>
                <w:color w:val="000000"/>
                <w:sz w:val="21"/>
                <w:szCs w:val="21"/>
                <w:vertAlign w:val="superscript"/>
                <w:lang w:val="en-GB" w:eastAsia="en-US"/>
              </w:rPr>
              <w:t>c</w:t>
            </w:r>
            <w:proofErr w:type="spellEnd"/>
          </w:p>
        </w:tc>
      </w:tr>
      <w:tr w:rsidR="000742A8" w:rsidRPr="00D0139E" w:rsidTr="0072035F">
        <w:trPr>
          <w:trHeight w:val="300"/>
        </w:trPr>
        <w:tc>
          <w:tcPr>
            <w:tcW w:w="1996" w:type="dxa"/>
            <w:vMerge/>
            <w:shd w:val="clear" w:color="auto" w:fill="auto"/>
            <w:vAlign w:val="center"/>
            <w:hideMark/>
          </w:tcPr>
          <w:p w:rsidR="000742A8" w:rsidRPr="00D0139E" w:rsidRDefault="000742A8" w:rsidP="0072035F">
            <w:pPr>
              <w:rPr>
                <w:b/>
                <w:bCs/>
                <w:color w:val="000000"/>
                <w:sz w:val="21"/>
                <w:szCs w:val="21"/>
                <w:lang w:val="en-GB" w:eastAsia="en-US"/>
              </w:rPr>
            </w:pPr>
          </w:p>
        </w:tc>
        <w:tc>
          <w:tcPr>
            <w:tcW w:w="1421" w:type="dxa"/>
            <w:vMerge/>
            <w:vAlign w:val="center"/>
            <w:hideMark/>
          </w:tcPr>
          <w:p w:rsidR="000742A8" w:rsidRPr="00D0139E" w:rsidRDefault="000742A8" w:rsidP="0072035F">
            <w:pPr>
              <w:rPr>
                <w:b/>
                <w:bCs/>
                <w:color w:val="000000"/>
                <w:sz w:val="21"/>
                <w:szCs w:val="21"/>
                <w:lang w:val="en-GB" w:eastAsia="en-US"/>
              </w:rPr>
            </w:pPr>
          </w:p>
        </w:tc>
        <w:tc>
          <w:tcPr>
            <w:tcW w:w="993"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Min</w:t>
            </w:r>
          </w:p>
        </w:tc>
        <w:tc>
          <w:tcPr>
            <w:tcW w:w="992"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Max</w:t>
            </w:r>
          </w:p>
        </w:tc>
        <w:tc>
          <w:tcPr>
            <w:tcW w:w="992"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Min</w:t>
            </w:r>
          </w:p>
        </w:tc>
        <w:tc>
          <w:tcPr>
            <w:tcW w:w="992"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Max</w:t>
            </w:r>
          </w:p>
        </w:tc>
        <w:tc>
          <w:tcPr>
            <w:tcW w:w="993"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Min</w:t>
            </w:r>
          </w:p>
        </w:tc>
        <w:tc>
          <w:tcPr>
            <w:tcW w:w="992" w:type="dxa"/>
            <w:shd w:val="clear" w:color="auto" w:fill="auto"/>
            <w:noWrap/>
            <w:vAlign w:val="bottom"/>
            <w:hideMark/>
          </w:tcPr>
          <w:p w:rsidR="000742A8" w:rsidRPr="00D0139E" w:rsidRDefault="000742A8" w:rsidP="0072035F">
            <w:pPr>
              <w:jc w:val="center"/>
              <w:rPr>
                <w:b/>
                <w:bCs/>
                <w:color w:val="000000"/>
                <w:sz w:val="21"/>
                <w:szCs w:val="21"/>
                <w:lang w:val="en-GB" w:eastAsia="en-US"/>
              </w:rPr>
            </w:pPr>
            <w:r w:rsidRPr="00D0139E">
              <w:rPr>
                <w:b/>
                <w:bCs/>
                <w:color w:val="000000"/>
                <w:sz w:val="21"/>
                <w:szCs w:val="21"/>
                <w:lang w:val="en-GB" w:eastAsia="en-US"/>
              </w:rPr>
              <w:t>Max</w:t>
            </w: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MEN</w:t>
            </w:r>
          </w:p>
        </w:tc>
        <w:tc>
          <w:tcPr>
            <w:tcW w:w="1421" w:type="dxa"/>
            <w:shd w:val="clear" w:color="auto" w:fill="auto"/>
            <w:noWrap/>
            <w:vAlign w:val="bottom"/>
            <w:hideMark/>
          </w:tcPr>
          <w:p w:rsidR="000742A8" w:rsidRPr="00D0139E" w:rsidRDefault="000742A8" w:rsidP="0072035F">
            <w:pPr>
              <w:rPr>
                <w:color w:val="000000"/>
                <w:sz w:val="21"/>
                <w:szCs w:val="21"/>
                <w:lang w:val="en-GB" w:eastAsia="en-US"/>
              </w:rPr>
            </w:pPr>
          </w:p>
        </w:tc>
        <w:tc>
          <w:tcPr>
            <w:tcW w:w="993"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3"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All-cause mortality</w:t>
            </w:r>
          </w:p>
        </w:tc>
        <w:tc>
          <w:tcPr>
            <w:tcW w:w="14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 xml:space="preserve">430 </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410</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615</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262</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325</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1158</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1788</w:t>
            </w: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CVD</w:t>
            </w:r>
          </w:p>
        </w:tc>
        <w:tc>
          <w:tcPr>
            <w:tcW w:w="14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 xml:space="preserve">164 </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116</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237</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35</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68</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457</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713</w:t>
            </w: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Cancer</w:t>
            </w:r>
          </w:p>
        </w:tc>
        <w:tc>
          <w:tcPr>
            <w:tcW w:w="14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138</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73</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210</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96</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147</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248</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448</w:t>
            </w: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External causes</w:t>
            </w:r>
          </w:p>
        </w:tc>
        <w:tc>
          <w:tcPr>
            <w:tcW w:w="14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 xml:space="preserve">24 </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116</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13</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37</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90</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431</w:t>
            </w: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p>
        </w:tc>
        <w:tc>
          <w:tcPr>
            <w:tcW w:w="1421" w:type="dxa"/>
            <w:shd w:val="clear" w:color="auto" w:fill="auto"/>
            <w:noWrap/>
            <w:vAlign w:val="bottom"/>
            <w:hideMark/>
          </w:tcPr>
          <w:p w:rsidR="000742A8" w:rsidRPr="00D0139E" w:rsidRDefault="000742A8" w:rsidP="0072035F">
            <w:pPr>
              <w:rPr>
                <w:color w:val="000000"/>
                <w:sz w:val="21"/>
                <w:szCs w:val="21"/>
                <w:lang w:val="en-GB" w:eastAsia="en-US"/>
              </w:rPr>
            </w:pPr>
          </w:p>
        </w:tc>
        <w:tc>
          <w:tcPr>
            <w:tcW w:w="993"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3"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WOMEN</w:t>
            </w:r>
          </w:p>
        </w:tc>
        <w:tc>
          <w:tcPr>
            <w:tcW w:w="1421" w:type="dxa"/>
            <w:shd w:val="clear" w:color="auto" w:fill="auto"/>
            <w:noWrap/>
            <w:vAlign w:val="bottom"/>
            <w:hideMark/>
          </w:tcPr>
          <w:p w:rsidR="000742A8" w:rsidRPr="00D0139E" w:rsidRDefault="000742A8" w:rsidP="0072035F">
            <w:pPr>
              <w:rPr>
                <w:color w:val="000000"/>
                <w:sz w:val="21"/>
                <w:szCs w:val="21"/>
                <w:lang w:val="en-GB" w:eastAsia="en-US"/>
              </w:rPr>
            </w:pPr>
          </w:p>
        </w:tc>
        <w:tc>
          <w:tcPr>
            <w:tcW w:w="993"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c>
          <w:tcPr>
            <w:tcW w:w="993" w:type="dxa"/>
            <w:shd w:val="clear" w:color="auto" w:fill="auto"/>
            <w:noWrap/>
            <w:vAlign w:val="bottom"/>
            <w:hideMark/>
          </w:tcPr>
          <w:p w:rsidR="000742A8" w:rsidRPr="00D0139E" w:rsidRDefault="000742A8" w:rsidP="0072035F">
            <w:pPr>
              <w:rPr>
                <w:color w:val="000000"/>
                <w:sz w:val="21"/>
                <w:szCs w:val="21"/>
                <w:lang w:val="en-GB" w:eastAsia="en-US"/>
              </w:rPr>
            </w:pPr>
          </w:p>
        </w:tc>
        <w:tc>
          <w:tcPr>
            <w:tcW w:w="992" w:type="dxa"/>
            <w:shd w:val="clear" w:color="auto" w:fill="auto"/>
            <w:noWrap/>
            <w:vAlign w:val="bottom"/>
            <w:hideMark/>
          </w:tcPr>
          <w:p w:rsidR="000742A8" w:rsidRPr="00D0139E" w:rsidRDefault="000742A8" w:rsidP="0072035F">
            <w:pPr>
              <w:rPr>
                <w:color w:val="000000"/>
                <w:sz w:val="21"/>
                <w:szCs w:val="21"/>
                <w:lang w:val="en-GB" w:eastAsia="en-US"/>
              </w:rPr>
            </w:pP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All-cause mortality</w:t>
            </w:r>
          </w:p>
        </w:tc>
        <w:tc>
          <w:tcPr>
            <w:tcW w:w="14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 xml:space="preserve">185 </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160</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319</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51</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98</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413</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691</w:t>
            </w: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CVD</w:t>
            </w:r>
          </w:p>
        </w:tc>
        <w:tc>
          <w:tcPr>
            <w:tcW w:w="14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 xml:space="preserve">82 </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51</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103</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15</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40</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208</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359</w:t>
            </w: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Cancer</w:t>
            </w:r>
          </w:p>
        </w:tc>
        <w:tc>
          <w:tcPr>
            <w:tcW w:w="14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 xml:space="preserve">57 </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89</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-5</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23</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45</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116</w:t>
            </w:r>
          </w:p>
        </w:tc>
      </w:tr>
      <w:tr w:rsidR="000742A8" w:rsidRPr="00D0139E" w:rsidTr="0072035F">
        <w:trPr>
          <w:trHeight w:val="300"/>
        </w:trPr>
        <w:tc>
          <w:tcPr>
            <w:tcW w:w="1996" w:type="dxa"/>
            <w:shd w:val="clear" w:color="auto" w:fill="auto"/>
            <w:noWrap/>
            <w:vAlign w:val="bottom"/>
            <w:hideMark/>
          </w:tcPr>
          <w:p w:rsidR="000742A8" w:rsidRPr="00D0139E" w:rsidRDefault="000742A8" w:rsidP="0072035F">
            <w:pPr>
              <w:rPr>
                <w:b/>
                <w:bCs/>
                <w:color w:val="000000"/>
                <w:sz w:val="21"/>
                <w:szCs w:val="21"/>
                <w:lang w:val="en-GB" w:eastAsia="en-US"/>
              </w:rPr>
            </w:pPr>
            <w:r w:rsidRPr="00D0139E">
              <w:rPr>
                <w:b/>
                <w:bCs/>
                <w:color w:val="000000"/>
                <w:sz w:val="21"/>
                <w:szCs w:val="21"/>
                <w:lang w:val="en-GB" w:eastAsia="en-US"/>
              </w:rPr>
              <w:t>External causes</w:t>
            </w:r>
          </w:p>
        </w:tc>
        <w:tc>
          <w:tcPr>
            <w:tcW w:w="1421"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 xml:space="preserve">-2 </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32</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0</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7</w:t>
            </w:r>
          </w:p>
        </w:tc>
        <w:tc>
          <w:tcPr>
            <w:tcW w:w="993"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17</w:t>
            </w:r>
          </w:p>
        </w:tc>
        <w:tc>
          <w:tcPr>
            <w:tcW w:w="992" w:type="dxa"/>
            <w:shd w:val="clear" w:color="auto" w:fill="auto"/>
            <w:noWrap/>
            <w:vAlign w:val="bottom"/>
            <w:hideMark/>
          </w:tcPr>
          <w:p w:rsidR="000742A8" w:rsidRPr="00D0139E" w:rsidRDefault="000742A8" w:rsidP="0072035F">
            <w:pPr>
              <w:jc w:val="right"/>
              <w:rPr>
                <w:color w:val="000000"/>
                <w:sz w:val="21"/>
                <w:szCs w:val="21"/>
                <w:lang w:val="en-GB" w:eastAsia="en-US"/>
              </w:rPr>
            </w:pPr>
            <w:r w:rsidRPr="00D0139E">
              <w:rPr>
                <w:color w:val="000000"/>
                <w:sz w:val="21"/>
                <w:szCs w:val="21"/>
                <w:lang w:val="en-GB" w:eastAsia="en-US"/>
              </w:rPr>
              <w:t>127</w:t>
            </w:r>
          </w:p>
        </w:tc>
      </w:tr>
    </w:tbl>
    <w:p w:rsidR="000742A8" w:rsidRPr="00E5299D" w:rsidRDefault="000742A8" w:rsidP="0072035F">
      <w:pPr>
        <w:spacing w:line="360" w:lineRule="auto"/>
        <w:rPr>
          <w:sz w:val="6"/>
          <w:szCs w:val="6"/>
          <w:lang w:val="en-GB"/>
        </w:rPr>
      </w:pPr>
    </w:p>
    <w:p w:rsidR="000742A8" w:rsidRDefault="000742A8" w:rsidP="0072035F">
      <w:pPr>
        <w:spacing w:line="360" w:lineRule="auto"/>
        <w:rPr>
          <w:sz w:val="20"/>
          <w:szCs w:val="20"/>
          <w:lang w:val="en-GB"/>
        </w:rPr>
      </w:pPr>
      <w:r>
        <w:rPr>
          <w:sz w:val="20"/>
          <w:szCs w:val="20"/>
          <w:lang w:val="en-GB"/>
        </w:rPr>
        <w:t>CVD = cardiovascular diseases</w:t>
      </w:r>
    </w:p>
    <w:p w:rsidR="000742A8" w:rsidRDefault="00895FD3" w:rsidP="001143CE">
      <w:pPr>
        <w:spacing w:line="360" w:lineRule="auto"/>
        <w:rPr>
          <w:sz w:val="20"/>
          <w:szCs w:val="20"/>
          <w:lang w:val="en-GB"/>
        </w:rPr>
      </w:pPr>
      <w:r>
        <w:rPr>
          <w:sz w:val="20"/>
          <w:szCs w:val="20"/>
          <w:vertAlign w:val="superscript"/>
          <w:lang w:val="en-GB"/>
        </w:rPr>
        <w:t>a</w:t>
      </w:r>
      <w:r w:rsidR="000742A8">
        <w:rPr>
          <w:sz w:val="20"/>
          <w:szCs w:val="20"/>
          <w:vertAlign w:val="superscript"/>
          <w:lang w:val="en-GB"/>
        </w:rPr>
        <w:t xml:space="preserve"> </w:t>
      </w:r>
      <w:r w:rsidR="000742A8">
        <w:rPr>
          <w:sz w:val="20"/>
          <w:szCs w:val="20"/>
          <w:lang w:val="en-GB"/>
        </w:rPr>
        <w:t>North-West ‘regime’ was represented by Finland, Sweden, Norway, Denmark, England &amp; Wales, Belgium, France, Switzerland, Austria</w:t>
      </w:r>
    </w:p>
    <w:p w:rsidR="000742A8" w:rsidRDefault="00895FD3" w:rsidP="0072035F">
      <w:pPr>
        <w:spacing w:line="360" w:lineRule="auto"/>
        <w:rPr>
          <w:sz w:val="20"/>
          <w:szCs w:val="20"/>
          <w:lang w:val="en-GB"/>
        </w:rPr>
      </w:pPr>
      <w:r>
        <w:rPr>
          <w:sz w:val="20"/>
          <w:szCs w:val="20"/>
          <w:vertAlign w:val="superscript"/>
          <w:lang w:val="en-GB"/>
        </w:rPr>
        <w:t>b</w:t>
      </w:r>
      <w:r w:rsidR="000742A8">
        <w:rPr>
          <w:sz w:val="20"/>
          <w:szCs w:val="20"/>
          <w:vertAlign w:val="superscript"/>
          <w:lang w:val="en-GB"/>
        </w:rPr>
        <w:t xml:space="preserve"> </w:t>
      </w:r>
      <w:r w:rsidR="000742A8">
        <w:rPr>
          <w:sz w:val="20"/>
          <w:szCs w:val="20"/>
          <w:lang w:val="en-GB"/>
        </w:rPr>
        <w:t>South ‘regime’ was represented by Spain (Barcelona, Basque Country, Madrid), Italy (Turin, Tuscany)</w:t>
      </w:r>
    </w:p>
    <w:p w:rsidR="000742A8" w:rsidRPr="00A2528B" w:rsidRDefault="00895FD3" w:rsidP="0072035F">
      <w:pPr>
        <w:spacing w:line="360" w:lineRule="auto"/>
        <w:rPr>
          <w:sz w:val="20"/>
          <w:szCs w:val="20"/>
          <w:lang w:val="en-GB"/>
        </w:rPr>
      </w:pPr>
      <w:r>
        <w:rPr>
          <w:sz w:val="20"/>
          <w:szCs w:val="20"/>
          <w:vertAlign w:val="superscript"/>
          <w:lang w:val="en-GB"/>
        </w:rPr>
        <w:t>c</w:t>
      </w:r>
      <w:r w:rsidR="000742A8">
        <w:rPr>
          <w:sz w:val="20"/>
          <w:szCs w:val="20"/>
          <w:vertAlign w:val="superscript"/>
          <w:lang w:val="en-GB"/>
        </w:rPr>
        <w:t xml:space="preserve"> </w:t>
      </w:r>
      <w:r w:rsidR="000742A8">
        <w:rPr>
          <w:sz w:val="20"/>
          <w:szCs w:val="20"/>
          <w:lang w:val="en-GB"/>
        </w:rPr>
        <w:t>Central/East ‘regime’ was represented by Hungary, Czech Republic, Poland, Estonia</w:t>
      </w:r>
    </w:p>
    <w:p w:rsidR="000742A8" w:rsidRDefault="000742A8" w:rsidP="0072035F">
      <w:pPr>
        <w:spacing w:line="360" w:lineRule="auto"/>
        <w:rPr>
          <w:sz w:val="20"/>
          <w:szCs w:val="20"/>
          <w:lang w:val="en-GB"/>
        </w:rPr>
      </w:pPr>
    </w:p>
    <w:p w:rsidR="000742A8" w:rsidRDefault="000742A8" w:rsidP="0072035F">
      <w:pPr>
        <w:spacing w:line="360" w:lineRule="auto"/>
        <w:rPr>
          <w:sz w:val="20"/>
          <w:szCs w:val="20"/>
          <w:lang w:val="en-GB"/>
        </w:rPr>
      </w:pPr>
    </w:p>
    <w:p w:rsidR="000742A8" w:rsidRDefault="000742A8" w:rsidP="0072035F">
      <w:pPr>
        <w:spacing w:line="360" w:lineRule="auto"/>
        <w:rPr>
          <w:sz w:val="20"/>
          <w:szCs w:val="20"/>
          <w:lang w:val="en-GB"/>
        </w:rPr>
      </w:pPr>
    </w:p>
    <w:p w:rsidR="000742A8" w:rsidRDefault="000742A8" w:rsidP="0072035F">
      <w:pPr>
        <w:spacing w:line="360" w:lineRule="auto"/>
        <w:rPr>
          <w:sz w:val="20"/>
          <w:szCs w:val="20"/>
          <w:lang w:val="en-GB"/>
        </w:rPr>
      </w:pPr>
    </w:p>
    <w:p w:rsidR="000742A8" w:rsidRPr="00D573DE" w:rsidRDefault="000742A8" w:rsidP="0072035F">
      <w:pPr>
        <w:spacing w:line="360" w:lineRule="auto"/>
        <w:rPr>
          <w:sz w:val="20"/>
          <w:szCs w:val="20"/>
          <w:lang w:val="en-GB"/>
        </w:rPr>
      </w:pPr>
    </w:p>
    <w:p w:rsidR="000742A8" w:rsidRPr="00D0139E" w:rsidRDefault="000742A8" w:rsidP="0072035F">
      <w:pPr>
        <w:spacing w:line="360" w:lineRule="auto"/>
        <w:rPr>
          <w:sz w:val="22"/>
          <w:szCs w:val="22"/>
          <w:lang w:val="en-GB"/>
        </w:rPr>
      </w:pPr>
      <w:r>
        <w:rPr>
          <w:noProof/>
          <w:sz w:val="22"/>
          <w:szCs w:val="22"/>
          <w:lang w:val="en-US" w:eastAsia="en-US"/>
        </w:rPr>
        <w:lastRenderedPageBreak/>
        <w:drawing>
          <wp:inline distT="0" distB="0" distL="0" distR="0" wp14:anchorId="7DD3141A" wp14:editId="25B72C32">
            <wp:extent cx="5759450" cy="37642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L_men.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59450" cy="3764280"/>
                    </a:xfrm>
                    <a:prstGeom prst="rect">
                      <a:avLst/>
                    </a:prstGeom>
                  </pic:spPr>
                </pic:pic>
              </a:graphicData>
            </a:graphic>
          </wp:inline>
        </w:drawing>
      </w:r>
    </w:p>
    <w:p w:rsidR="000742A8" w:rsidRPr="00D0139E" w:rsidRDefault="000742A8" w:rsidP="0072035F">
      <w:pPr>
        <w:pStyle w:val="Caption"/>
        <w:rPr>
          <w:sz w:val="22"/>
          <w:szCs w:val="22"/>
          <w:lang w:val="en-GB"/>
        </w:rPr>
      </w:pPr>
      <w:r w:rsidRPr="00D0139E">
        <w:rPr>
          <w:sz w:val="22"/>
          <w:szCs w:val="22"/>
          <w:lang w:val="en-GB"/>
        </w:rPr>
        <w:t>Fig</w:t>
      </w:r>
      <w:r w:rsidR="0056506C">
        <w:rPr>
          <w:sz w:val="22"/>
          <w:szCs w:val="22"/>
          <w:lang w:val="en-GB"/>
        </w:rPr>
        <w:t>.</w:t>
      </w:r>
      <w:r w:rsidRPr="00D0139E">
        <w:rPr>
          <w:sz w:val="22"/>
          <w:szCs w:val="22"/>
          <w:lang w:val="en-GB"/>
        </w:rPr>
        <w:t xml:space="preserve"> </w:t>
      </w:r>
      <w:r w:rsidRPr="00D0139E">
        <w:rPr>
          <w:sz w:val="22"/>
          <w:szCs w:val="22"/>
          <w:lang w:val="en-GB"/>
        </w:rPr>
        <w:fldChar w:fldCharType="begin"/>
      </w:r>
      <w:r w:rsidRPr="00D0139E">
        <w:rPr>
          <w:sz w:val="22"/>
          <w:szCs w:val="22"/>
          <w:lang w:val="en-GB"/>
        </w:rPr>
        <w:instrText xml:space="preserve"> SEQ Figure \* ARABIC </w:instrText>
      </w:r>
      <w:r w:rsidRPr="00D0139E">
        <w:rPr>
          <w:sz w:val="22"/>
          <w:szCs w:val="22"/>
          <w:lang w:val="en-GB"/>
        </w:rPr>
        <w:fldChar w:fldCharType="separate"/>
      </w:r>
      <w:r w:rsidRPr="00D0139E">
        <w:rPr>
          <w:noProof/>
          <w:sz w:val="22"/>
          <w:szCs w:val="22"/>
          <w:lang w:val="en-GB"/>
        </w:rPr>
        <w:t>1</w:t>
      </w:r>
      <w:r w:rsidRPr="00D0139E">
        <w:rPr>
          <w:sz w:val="22"/>
          <w:szCs w:val="22"/>
          <w:lang w:val="en-GB"/>
        </w:rPr>
        <w:fldChar w:fldCharType="end"/>
      </w:r>
      <w:r w:rsidRPr="00D0139E">
        <w:rPr>
          <w:sz w:val="22"/>
          <w:szCs w:val="22"/>
          <w:lang w:val="en-GB"/>
        </w:rPr>
        <w:t xml:space="preserve"> Contribution (in years) of age groups and causes of death to the difference in partial life expectancy between age</w:t>
      </w:r>
      <w:r w:rsidR="002A226B">
        <w:rPr>
          <w:sz w:val="22"/>
          <w:szCs w:val="22"/>
          <w:lang w:val="en-GB"/>
        </w:rPr>
        <w:t>s</w:t>
      </w:r>
      <w:r w:rsidRPr="00D0139E">
        <w:rPr>
          <w:sz w:val="22"/>
          <w:szCs w:val="22"/>
          <w:lang w:val="en-GB"/>
        </w:rPr>
        <w:t xml:space="preserve"> 30 and 79 between primary and tertiary educated men, the Netherlands, 1998–2007</w:t>
      </w:r>
    </w:p>
    <w:p w:rsidR="000742A8" w:rsidRDefault="000742A8" w:rsidP="0072035F">
      <w:pPr>
        <w:rPr>
          <w:sz w:val="22"/>
          <w:szCs w:val="22"/>
          <w:lang w:val="en-GB"/>
        </w:rPr>
      </w:pPr>
      <w:r w:rsidRPr="00851907">
        <w:rPr>
          <w:sz w:val="22"/>
          <w:szCs w:val="22"/>
          <w:lang w:val="en-GB"/>
        </w:rPr>
        <w:t>Legend: IHD = ischemic heart disease; CVD = cardiovascular diseases</w:t>
      </w:r>
    </w:p>
    <w:p w:rsidR="000742A8" w:rsidRDefault="000742A8" w:rsidP="0072035F">
      <w:pPr>
        <w:rPr>
          <w:sz w:val="22"/>
          <w:szCs w:val="22"/>
          <w:lang w:val="en-GB"/>
        </w:rPr>
      </w:pPr>
    </w:p>
    <w:p w:rsidR="000742A8" w:rsidRDefault="000742A8" w:rsidP="0072035F">
      <w:pPr>
        <w:rPr>
          <w:sz w:val="22"/>
          <w:szCs w:val="22"/>
          <w:lang w:val="en-GB"/>
        </w:rPr>
      </w:pPr>
    </w:p>
    <w:p w:rsidR="000742A8" w:rsidRDefault="000742A8" w:rsidP="0072035F">
      <w:pPr>
        <w:rPr>
          <w:sz w:val="22"/>
          <w:szCs w:val="22"/>
          <w:lang w:val="en-GB"/>
        </w:rPr>
      </w:pPr>
    </w:p>
    <w:p w:rsidR="000742A8" w:rsidRPr="00851907" w:rsidRDefault="000742A8" w:rsidP="0072035F">
      <w:pPr>
        <w:rPr>
          <w:sz w:val="22"/>
          <w:szCs w:val="22"/>
          <w:lang w:val="en-GB"/>
        </w:rPr>
      </w:pPr>
    </w:p>
    <w:p w:rsidR="000742A8" w:rsidRPr="00D0139E" w:rsidRDefault="000742A8" w:rsidP="0072035F">
      <w:pPr>
        <w:keepNext/>
        <w:rPr>
          <w:lang w:val="en-GB"/>
        </w:rPr>
      </w:pPr>
      <w:r>
        <w:rPr>
          <w:noProof/>
          <w:lang w:val="en-US" w:eastAsia="en-US"/>
        </w:rPr>
        <w:lastRenderedPageBreak/>
        <w:drawing>
          <wp:inline distT="0" distB="0" distL="0" distR="0">
            <wp:extent cx="5759450" cy="37642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L_women.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59450" cy="3764280"/>
                    </a:xfrm>
                    <a:prstGeom prst="rect">
                      <a:avLst/>
                    </a:prstGeom>
                  </pic:spPr>
                </pic:pic>
              </a:graphicData>
            </a:graphic>
          </wp:inline>
        </w:drawing>
      </w:r>
    </w:p>
    <w:p w:rsidR="000742A8" w:rsidRPr="00201A7C" w:rsidRDefault="000742A8" w:rsidP="0072035F">
      <w:pPr>
        <w:pStyle w:val="Caption"/>
        <w:rPr>
          <w:sz w:val="6"/>
          <w:szCs w:val="6"/>
          <w:lang w:val="en-GB"/>
        </w:rPr>
      </w:pPr>
    </w:p>
    <w:p w:rsidR="000742A8" w:rsidRPr="00D0139E" w:rsidRDefault="000742A8" w:rsidP="0072035F">
      <w:pPr>
        <w:pStyle w:val="Caption"/>
        <w:rPr>
          <w:b w:val="0"/>
          <w:i/>
          <w:sz w:val="22"/>
          <w:szCs w:val="22"/>
          <w:lang w:val="en-GB"/>
        </w:rPr>
      </w:pPr>
      <w:r w:rsidRPr="00D0139E">
        <w:rPr>
          <w:sz w:val="22"/>
          <w:szCs w:val="22"/>
          <w:lang w:val="en-GB"/>
        </w:rPr>
        <w:t>Fig</w:t>
      </w:r>
      <w:r w:rsidR="0056506C">
        <w:rPr>
          <w:sz w:val="22"/>
          <w:szCs w:val="22"/>
          <w:lang w:val="en-GB"/>
        </w:rPr>
        <w:t>.</w:t>
      </w:r>
      <w:r w:rsidRPr="00D0139E">
        <w:rPr>
          <w:sz w:val="22"/>
          <w:szCs w:val="22"/>
          <w:lang w:val="en-GB"/>
        </w:rPr>
        <w:t xml:space="preserve"> </w:t>
      </w:r>
      <w:r w:rsidRPr="00D0139E">
        <w:rPr>
          <w:sz w:val="22"/>
          <w:szCs w:val="22"/>
          <w:lang w:val="en-GB"/>
        </w:rPr>
        <w:fldChar w:fldCharType="begin"/>
      </w:r>
      <w:r w:rsidRPr="00D0139E">
        <w:rPr>
          <w:sz w:val="22"/>
          <w:szCs w:val="22"/>
          <w:lang w:val="en-GB"/>
        </w:rPr>
        <w:instrText xml:space="preserve"> SEQ Figure \* ARABIC </w:instrText>
      </w:r>
      <w:r w:rsidRPr="00D0139E">
        <w:rPr>
          <w:sz w:val="22"/>
          <w:szCs w:val="22"/>
          <w:lang w:val="en-GB"/>
        </w:rPr>
        <w:fldChar w:fldCharType="separate"/>
      </w:r>
      <w:r w:rsidRPr="00D0139E">
        <w:rPr>
          <w:noProof/>
          <w:sz w:val="22"/>
          <w:szCs w:val="22"/>
          <w:lang w:val="en-GB"/>
        </w:rPr>
        <w:t>2</w:t>
      </w:r>
      <w:r w:rsidRPr="00D0139E">
        <w:rPr>
          <w:sz w:val="22"/>
          <w:szCs w:val="22"/>
          <w:lang w:val="en-GB"/>
        </w:rPr>
        <w:fldChar w:fldCharType="end"/>
      </w:r>
      <w:r w:rsidRPr="00D0139E">
        <w:rPr>
          <w:sz w:val="22"/>
          <w:szCs w:val="22"/>
          <w:lang w:val="en-GB"/>
        </w:rPr>
        <w:t xml:space="preserve"> Contribution (in years) of age groups and causes of death to the difference in partial life expectancy between age</w:t>
      </w:r>
      <w:r w:rsidR="002A226B">
        <w:rPr>
          <w:sz w:val="22"/>
          <w:szCs w:val="22"/>
          <w:lang w:val="en-GB"/>
        </w:rPr>
        <w:t>s</w:t>
      </w:r>
      <w:r w:rsidRPr="00D0139E">
        <w:rPr>
          <w:sz w:val="22"/>
          <w:szCs w:val="22"/>
          <w:lang w:val="en-GB"/>
        </w:rPr>
        <w:t xml:space="preserve"> 30 and 79 between primary and tertiary educated women, the Netherlands, </w:t>
      </w:r>
      <w:r>
        <w:rPr>
          <w:sz w:val="22"/>
          <w:szCs w:val="22"/>
          <w:lang w:val="en-GB"/>
        </w:rPr>
        <w:t>1998–2007</w:t>
      </w:r>
    </w:p>
    <w:p w:rsidR="000742A8" w:rsidRDefault="000742A8">
      <w:pPr>
        <w:rPr>
          <w:sz w:val="22"/>
          <w:szCs w:val="22"/>
          <w:lang w:val="en-GB"/>
        </w:rPr>
      </w:pPr>
      <w:r w:rsidRPr="00851907">
        <w:rPr>
          <w:sz w:val="22"/>
          <w:szCs w:val="22"/>
          <w:lang w:val="en-GB"/>
        </w:rPr>
        <w:t>Legend: IHD = ischemic heart disease; CVD = cardiovascular diseases</w:t>
      </w: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p w:rsidR="000742A8" w:rsidRDefault="000742A8">
      <w:pPr>
        <w:rPr>
          <w:sz w:val="22"/>
          <w:szCs w:val="22"/>
          <w:lang w:val="en-GB"/>
        </w:rPr>
      </w:pPr>
    </w:p>
    <w:sectPr w:rsidR="000742A8" w:rsidSect="0072035F">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6EE" w:rsidRDefault="00E616EE">
      <w:r>
        <w:separator/>
      </w:r>
    </w:p>
  </w:endnote>
  <w:endnote w:type="continuationSeparator" w:id="0">
    <w:p w:rsidR="00E616EE" w:rsidRDefault="00E61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7D7C" w:rsidRDefault="00117D7C" w:rsidP="0072035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rsidR="00117D7C" w:rsidRDefault="00117D7C" w:rsidP="0072035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7D7C" w:rsidRDefault="00117D7C" w:rsidP="0072035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544B4">
      <w:rPr>
        <w:rStyle w:val="PageNumber"/>
        <w:noProof/>
      </w:rPr>
      <w:t>14</w:t>
    </w:r>
    <w:r>
      <w:rPr>
        <w:rStyle w:val="PageNumber"/>
      </w:rPr>
      <w:fldChar w:fldCharType="end"/>
    </w:r>
  </w:p>
  <w:p w:rsidR="00117D7C" w:rsidRDefault="00117D7C" w:rsidP="0072035F">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6EE" w:rsidRDefault="00E616EE">
      <w:r>
        <w:separator/>
      </w:r>
    </w:p>
  </w:footnote>
  <w:footnote w:type="continuationSeparator" w:id="0">
    <w:p w:rsidR="00E616EE" w:rsidRDefault="00E616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A73C7"/>
    <w:multiLevelType w:val="hybridMultilevel"/>
    <w:tmpl w:val="469AD448"/>
    <w:lvl w:ilvl="0" w:tplc="1864383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5377C9"/>
    <w:multiLevelType w:val="hybridMultilevel"/>
    <w:tmpl w:val="0C9AC634"/>
    <w:lvl w:ilvl="0" w:tplc="04130017">
      <w:start w:val="1"/>
      <w:numFmt w:val="lowerLetter"/>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
    <w:nsid w:val="15482301"/>
    <w:multiLevelType w:val="hybridMultilevel"/>
    <w:tmpl w:val="691AA760"/>
    <w:lvl w:ilvl="0" w:tplc="452E727C">
      <w:start w:val="19"/>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231D5921"/>
    <w:multiLevelType w:val="multilevel"/>
    <w:tmpl w:val="3DCE52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A84AA8"/>
    <w:multiLevelType w:val="multilevel"/>
    <w:tmpl w:val="C64849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7880ABB"/>
    <w:multiLevelType w:val="hybridMultilevel"/>
    <w:tmpl w:val="FB68875A"/>
    <w:lvl w:ilvl="0" w:tplc="04130011">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6">
    <w:nsid w:val="45B6112D"/>
    <w:multiLevelType w:val="hybridMultilevel"/>
    <w:tmpl w:val="1A36E72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D31B04"/>
    <w:multiLevelType w:val="hybridMultilevel"/>
    <w:tmpl w:val="49FCB43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6CF36A00"/>
    <w:multiLevelType w:val="hybridMultilevel"/>
    <w:tmpl w:val="871CAC70"/>
    <w:lvl w:ilvl="0" w:tplc="04130011">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num w:numId="1">
    <w:abstractNumId w:val="7"/>
  </w:num>
  <w:num w:numId="2">
    <w:abstractNumId w:val="1"/>
  </w:num>
  <w:num w:numId="3">
    <w:abstractNumId w:val="2"/>
  </w:num>
  <w:num w:numId="4">
    <w:abstractNumId w:val="3"/>
  </w:num>
  <w:num w:numId="5">
    <w:abstractNumId w:val="4"/>
  </w:num>
  <w:num w:numId="6">
    <w:abstractNumId w:val="8"/>
  </w:num>
  <w:num w:numId="7">
    <w:abstractNumId w:val="5"/>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0742A8"/>
    <w:rsid w:val="000002FA"/>
    <w:rsid w:val="0001772A"/>
    <w:rsid w:val="000742A8"/>
    <w:rsid w:val="00077D07"/>
    <w:rsid w:val="0008251E"/>
    <w:rsid w:val="0008741E"/>
    <w:rsid w:val="001143CE"/>
    <w:rsid w:val="00117D7C"/>
    <w:rsid w:val="00140CE6"/>
    <w:rsid w:val="001A54FF"/>
    <w:rsid w:val="001B5804"/>
    <w:rsid w:val="001E456A"/>
    <w:rsid w:val="002A226B"/>
    <w:rsid w:val="002F5863"/>
    <w:rsid w:val="003600D5"/>
    <w:rsid w:val="0039540B"/>
    <w:rsid w:val="003D73B7"/>
    <w:rsid w:val="004B276F"/>
    <w:rsid w:val="004C11C0"/>
    <w:rsid w:val="0056506C"/>
    <w:rsid w:val="0057188D"/>
    <w:rsid w:val="006A5AAF"/>
    <w:rsid w:val="0072035F"/>
    <w:rsid w:val="007E3401"/>
    <w:rsid w:val="0081408B"/>
    <w:rsid w:val="00850F2C"/>
    <w:rsid w:val="00866022"/>
    <w:rsid w:val="00871AD5"/>
    <w:rsid w:val="008814FB"/>
    <w:rsid w:val="008866C5"/>
    <w:rsid w:val="00891852"/>
    <w:rsid w:val="00895FD3"/>
    <w:rsid w:val="008C1224"/>
    <w:rsid w:val="00935127"/>
    <w:rsid w:val="009B7945"/>
    <w:rsid w:val="009F45A1"/>
    <w:rsid w:val="00A45DBE"/>
    <w:rsid w:val="00A473BF"/>
    <w:rsid w:val="00AA084F"/>
    <w:rsid w:val="00B0619C"/>
    <w:rsid w:val="00BB3282"/>
    <w:rsid w:val="00CB2FC1"/>
    <w:rsid w:val="00CE305C"/>
    <w:rsid w:val="00D00B9F"/>
    <w:rsid w:val="00D1060B"/>
    <w:rsid w:val="00D33224"/>
    <w:rsid w:val="00D544B4"/>
    <w:rsid w:val="00DC558C"/>
    <w:rsid w:val="00E12BF1"/>
    <w:rsid w:val="00E221AA"/>
    <w:rsid w:val="00E23462"/>
    <w:rsid w:val="00E616EE"/>
    <w:rsid w:val="00EA6DAE"/>
    <w:rsid w:val="00F301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List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HTML Cite"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2A8"/>
    <w:pPr>
      <w:spacing w:after="0" w:line="240" w:lineRule="auto"/>
    </w:pPr>
    <w:rPr>
      <w:rFonts w:ascii="Times New Roman" w:eastAsia="Times New Roman" w:hAnsi="Times New Roman" w:cs="Times New Roman"/>
      <w:sz w:val="24"/>
      <w:szCs w:val="24"/>
      <w:lang w:val="nl-NL" w:eastAsia="nl-NL"/>
    </w:rPr>
  </w:style>
  <w:style w:type="paragraph" w:styleId="Heading1">
    <w:name w:val="heading 1"/>
    <w:basedOn w:val="Normal"/>
    <w:next w:val="Normal"/>
    <w:link w:val="Heading1Char"/>
    <w:qFormat/>
    <w:rsid w:val="000742A8"/>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742A8"/>
    <w:rPr>
      <w:rFonts w:ascii="Cambria" w:eastAsia="Times New Roman" w:hAnsi="Cambria" w:cs="Times New Roman"/>
      <w:b/>
      <w:bCs/>
      <w:kern w:val="32"/>
      <w:sz w:val="32"/>
      <w:szCs w:val="32"/>
      <w:lang w:val="nl-NL" w:eastAsia="nl-NL"/>
    </w:rPr>
  </w:style>
  <w:style w:type="paragraph" w:styleId="ListNumber">
    <w:name w:val="List Number"/>
    <w:basedOn w:val="Normal"/>
    <w:rsid w:val="000742A8"/>
    <w:pPr>
      <w:spacing w:after="240"/>
      <w:jc w:val="both"/>
    </w:pPr>
    <w:rPr>
      <w:szCs w:val="20"/>
      <w:lang w:val="en-GB" w:eastAsia="en-US"/>
    </w:rPr>
  </w:style>
  <w:style w:type="paragraph" w:styleId="BodyText2">
    <w:name w:val="Body Text 2"/>
    <w:basedOn w:val="Normal"/>
    <w:link w:val="BodyText2Char"/>
    <w:rsid w:val="000742A8"/>
    <w:pPr>
      <w:spacing w:after="120" w:line="480" w:lineRule="auto"/>
    </w:pPr>
    <w:rPr>
      <w:rFonts w:ascii="Times" w:hAnsi="Times"/>
      <w:szCs w:val="20"/>
      <w:lang w:val="en-GB" w:eastAsia="en-US"/>
    </w:rPr>
  </w:style>
  <w:style w:type="character" w:customStyle="1" w:styleId="BodyText2Char">
    <w:name w:val="Body Text 2 Char"/>
    <w:basedOn w:val="DefaultParagraphFont"/>
    <w:link w:val="BodyText2"/>
    <w:rsid w:val="000742A8"/>
    <w:rPr>
      <w:rFonts w:ascii="Times" w:eastAsia="Times New Roman" w:hAnsi="Times" w:cs="Times New Roman"/>
      <w:sz w:val="24"/>
      <w:szCs w:val="20"/>
      <w:lang w:val="en-GB"/>
    </w:rPr>
  </w:style>
  <w:style w:type="paragraph" w:styleId="Footer">
    <w:name w:val="footer"/>
    <w:basedOn w:val="Normal"/>
    <w:link w:val="FooterChar"/>
    <w:rsid w:val="000742A8"/>
    <w:pPr>
      <w:tabs>
        <w:tab w:val="center" w:pos="4536"/>
        <w:tab w:val="right" w:pos="9072"/>
      </w:tabs>
    </w:pPr>
  </w:style>
  <w:style w:type="character" w:customStyle="1" w:styleId="FooterChar">
    <w:name w:val="Footer Char"/>
    <w:basedOn w:val="DefaultParagraphFont"/>
    <w:link w:val="Footer"/>
    <w:rsid w:val="000742A8"/>
    <w:rPr>
      <w:rFonts w:ascii="Times New Roman" w:eastAsia="Times New Roman" w:hAnsi="Times New Roman" w:cs="Times New Roman"/>
      <w:sz w:val="24"/>
      <w:szCs w:val="24"/>
      <w:lang w:val="nl-NL" w:eastAsia="nl-NL"/>
    </w:rPr>
  </w:style>
  <w:style w:type="character" w:styleId="PageNumber">
    <w:name w:val="page number"/>
    <w:basedOn w:val="DefaultParagraphFont"/>
    <w:rsid w:val="000742A8"/>
  </w:style>
  <w:style w:type="paragraph" w:styleId="Caption">
    <w:name w:val="caption"/>
    <w:basedOn w:val="Normal"/>
    <w:next w:val="Normal"/>
    <w:qFormat/>
    <w:rsid w:val="000742A8"/>
    <w:rPr>
      <w:b/>
      <w:bCs/>
      <w:sz w:val="20"/>
      <w:szCs w:val="20"/>
    </w:rPr>
  </w:style>
  <w:style w:type="paragraph" w:styleId="BalloonText">
    <w:name w:val="Balloon Text"/>
    <w:basedOn w:val="Normal"/>
    <w:link w:val="BalloonTextChar"/>
    <w:semiHidden/>
    <w:rsid w:val="000742A8"/>
    <w:rPr>
      <w:rFonts w:ascii="Tahoma" w:hAnsi="Tahoma" w:cs="Tahoma"/>
      <w:sz w:val="16"/>
      <w:szCs w:val="16"/>
    </w:rPr>
  </w:style>
  <w:style w:type="character" w:customStyle="1" w:styleId="BalloonTextChar">
    <w:name w:val="Balloon Text Char"/>
    <w:basedOn w:val="DefaultParagraphFont"/>
    <w:link w:val="BalloonText"/>
    <w:semiHidden/>
    <w:rsid w:val="000742A8"/>
    <w:rPr>
      <w:rFonts w:ascii="Tahoma" w:eastAsia="Times New Roman" w:hAnsi="Tahoma" w:cs="Tahoma"/>
      <w:sz w:val="16"/>
      <w:szCs w:val="16"/>
      <w:lang w:val="nl-NL" w:eastAsia="nl-NL"/>
    </w:rPr>
  </w:style>
  <w:style w:type="character" w:styleId="HTMLCite">
    <w:name w:val="HTML Cite"/>
    <w:rsid w:val="000742A8"/>
    <w:rPr>
      <w:i/>
      <w:iCs/>
    </w:rPr>
  </w:style>
  <w:style w:type="character" w:customStyle="1" w:styleId="cit-auth2">
    <w:name w:val="cit-auth2"/>
    <w:basedOn w:val="DefaultParagraphFont"/>
    <w:rsid w:val="000742A8"/>
  </w:style>
  <w:style w:type="character" w:customStyle="1" w:styleId="cit-name-surname">
    <w:name w:val="cit-name-surname"/>
    <w:basedOn w:val="DefaultParagraphFont"/>
    <w:rsid w:val="000742A8"/>
  </w:style>
  <w:style w:type="character" w:customStyle="1" w:styleId="cit-name-given-names">
    <w:name w:val="cit-name-given-names"/>
    <w:basedOn w:val="DefaultParagraphFont"/>
    <w:rsid w:val="000742A8"/>
  </w:style>
  <w:style w:type="character" w:customStyle="1" w:styleId="cit-etal">
    <w:name w:val="cit-etal"/>
    <w:basedOn w:val="DefaultParagraphFont"/>
    <w:rsid w:val="000742A8"/>
  </w:style>
  <w:style w:type="character" w:customStyle="1" w:styleId="cit-article-title">
    <w:name w:val="cit-article-title"/>
    <w:basedOn w:val="DefaultParagraphFont"/>
    <w:rsid w:val="000742A8"/>
  </w:style>
  <w:style w:type="character" w:customStyle="1" w:styleId="cit-pub-date">
    <w:name w:val="cit-pub-date"/>
    <w:basedOn w:val="DefaultParagraphFont"/>
    <w:rsid w:val="000742A8"/>
  </w:style>
  <w:style w:type="character" w:customStyle="1" w:styleId="cit-vol4">
    <w:name w:val="cit-vol4"/>
    <w:basedOn w:val="DefaultParagraphFont"/>
    <w:rsid w:val="000742A8"/>
  </w:style>
  <w:style w:type="character" w:customStyle="1" w:styleId="cit-fpage">
    <w:name w:val="cit-fpage"/>
    <w:basedOn w:val="DefaultParagraphFont"/>
    <w:rsid w:val="000742A8"/>
  </w:style>
  <w:style w:type="character" w:customStyle="1" w:styleId="cit-lpage">
    <w:name w:val="cit-lpage"/>
    <w:basedOn w:val="DefaultParagraphFont"/>
    <w:rsid w:val="000742A8"/>
  </w:style>
  <w:style w:type="paragraph" w:styleId="HTMLPreformatted">
    <w:name w:val="HTML Preformatted"/>
    <w:basedOn w:val="Normal"/>
    <w:link w:val="HTMLPreformattedChar"/>
    <w:rsid w:val="00074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0742A8"/>
    <w:rPr>
      <w:rFonts w:ascii="Courier New" w:eastAsia="Times New Roman" w:hAnsi="Courier New" w:cs="Courier New"/>
      <w:sz w:val="20"/>
      <w:szCs w:val="20"/>
      <w:lang w:val="nl-NL" w:eastAsia="nl-NL"/>
    </w:rPr>
  </w:style>
  <w:style w:type="character" w:styleId="CommentReference">
    <w:name w:val="annotation reference"/>
    <w:rsid w:val="000742A8"/>
    <w:rPr>
      <w:sz w:val="16"/>
      <w:szCs w:val="16"/>
    </w:rPr>
  </w:style>
  <w:style w:type="paragraph" w:styleId="CommentText">
    <w:name w:val="annotation text"/>
    <w:basedOn w:val="Normal"/>
    <w:link w:val="CommentTextChar"/>
    <w:rsid w:val="000742A8"/>
    <w:rPr>
      <w:sz w:val="20"/>
      <w:szCs w:val="20"/>
    </w:rPr>
  </w:style>
  <w:style w:type="character" w:customStyle="1" w:styleId="CommentTextChar">
    <w:name w:val="Comment Text Char"/>
    <w:basedOn w:val="DefaultParagraphFont"/>
    <w:link w:val="CommentText"/>
    <w:rsid w:val="000742A8"/>
    <w:rPr>
      <w:rFonts w:ascii="Times New Roman" w:eastAsia="Times New Roman" w:hAnsi="Times New Roman" w:cs="Times New Roman"/>
      <w:sz w:val="20"/>
      <w:szCs w:val="20"/>
      <w:lang w:val="nl-NL" w:eastAsia="nl-NL"/>
    </w:rPr>
  </w:style>
  <w:style w:type="paragraph" w:styleId="CommentSubject">
    <w:name w:val="annotation subject"/>
    <w:basedOn w:val="CommentText"/>
    <w:next w:val="CommentText"/>
    <w:link w:val="CommentSubjectChar"/>
    <w:rsid w:val="000742A8"/>
    <w:rPr>
      <w:b/>
      <w:bCs/>
      <w:lang w:val="x-none" w:eastAsia="x-none"/>
    </w:rPr>
  </w:style>
  <w:style w:type="character" w:customStyle="1" w:styleId="CommentSubjectChar">
    <w:name w:val="Comment Subject Char"/>
    <w:basedOn w:val="CommentTextChar"/>
    <w:link w:val="CommentSubject"/>
    <w:rsid w:val="000742A8"/>
    <w:rPr>
      <w:rFonts w:ascii="Times New Roman" w:eastAsia="Times New Roman" w:hAnsi="Times New Roman" w:cs="Times New Roman"/>
      <w:b/>
      <w:bCs/>
      <w:sz w:val="20"/>
      <w:szCs w:val="20"/>
      <w:lang w:val="x-none" w:eastAsia="x-none"/>
    </w:rPr>
  </w:style>
  <w:style w:type="paragraph" w:styleId="Header">
    <w:name w:val="header"/>
    <w:basedOn w:val="Normal"/>
    <w:link w:val="HeaderChar"/>
    <w:rsid w:val="000742A8"/>
    <w:pPr>
      <w:tabs>
        <w:tab w:val="center" w:pos="4536"/>
        <w:tab w:val="right" w:pos="9072"/>
      </w:tabs>
    </w:pPr>
  </w:style>
  <w:style w:type="character" w:customStyle="1" w:styleId="HeaderChar">
    <w:name w:val="Header Char"/>
    <w:basedOn w:val="DefaultParagraphFont"/>
    <w:link w:val="Header"/>
    <w:rsid w:val="000742A8"/>
    <w:rPr>
      <w:rFonts w:ascii="Times New Roman" w:eastAsia="Times New Roman" w:hAnsi="Times New Roman" w:cs="Times New Roman"/>
      <w:sz w:val="24"/>
      <w:szCs w:val="24"/>
      <w:lang w:val="nl-NL" w:eastAsia="nl-NL"/>
    </w:rPr>
  </w:style>
  <w:style w:type="paragraph" w:customStyle="1" w:styleId="Default">
    <w:name w:val="Default"/>
    <w:rsid w:val="000742A8"/>
    <w:pPr>
      <w:autoSpaceDE w:val="0"/>
      <w:autoSpaceDN w:val="0"/>
      <w:adjustRightInd w:val="0"/>
      <w:spacing w:after="0" w:line="240" w:lineRule="auto"/>
    </w:pPr>
    <w:rPr>
      <w:rFonts w:ascii="Times New Roman" w:eastAsia="Times New Roman" w:hAnsi="Times New Roman" w:cs="Times New Roman"/>
      <w:color w:val="000000"/>
      <w:sz w:val="24"/>
      <w:szCs w:val="24"/>
      <w:lang w:val="nl-NL" w:eastAsia="nl-NL"/>
    </w:rPr>
  </w:style>
  <w:style w:type="paragraph" w:styleId="FootnoteText">
    <w:name w:val="footnote text"/>
    <w:basedOn w:val="Normal"/>
    <w:link w:val="FootnoteTextChar"/>
    <w:semiHidden/>
    <w:rsid w:val="000742A8"/>
    <w:rPr>
      <w:sz w:val="20"/>
      <w:szCs w:val="20"/>
    </w:rPr>
  </w:style>
  <w:style w:type="character" w:customStyle="1" w:styleId="FootnoteTextChar">
    <w:name w:val="Footnote Text Char"/>
    <w:basedOn w:val="DefaultParagraphFont"/>
    <w:link w:val="FootnoteText"/>
    <w:semiHidden/>
    <w:rsid w:val="000742A8"/>
    <w:rPr>
      <w:rFonts w:ascii="Times New Roman" w:eastAsia="Times New Roman" w:hAnsi="Times New Roman" w:cs="Times New Roman"/>
      <w:sz w:val="20"/>
      <w:szCs w:val="20"/>
      <w:lang w:val="nl-NL" w:eastAsia="nl-NL"/>
    </w:rPr>
  </w:style>
  <w:style w:type="character" w:styleId="FootnoteReference">
    <w:name w:val="footnote reference"/>
    <w:semiHidden/>
    <w:rsid w:val="000742A8"/>
    <w:rPr>
      <w:vertAlign w:val="superscript"/>
    </w:rPr>
  </w:style>
  <w:style w:type="paragraph" w:styleId="NormalWeb">
    <w:name w:val="Normal (Web)"/>
    <w:basedOn w:val="Normal"/>
    <w:rsid w:val="000742A8"/>
    <w:pPr>
      <w:spacing w:before="100" w:beforeAutospacing="1" w:after="100" w:afterAutospacing="1"/>
    </w:pPr>
  </w:style>
  <w:style w:type="character" w:styleId="Hyperlink">
    <w:name w:val="Hyperlink"/>
    <w:rsid w:val="000742A8"/>
    <w:rPr>
      <w:color w:val="0000FF"/>
      <w:u w:val="single"/>
    </w:rPr>
  </w:style>
  <w:style w:type="paragraph" w:styleId="NoSpacing">
    <w:name w:val="No Spacing"/>
    <w:link w:val="NoSpacingChar"/>
    <w:uiPriority w:val="1"/>
    <w:qFormat/>
    <w:rsid w:val="000742A8"/>
    <w:pPr>
      <w:spacing w:after="0" w:line="240" w:lineRule="auto"/>
    </w:pPr>
    <w:rPr>
      <w:rFonts w:ascii="Calibri" w:eastAsia="Times New Roman" w:hAnsi="Calibri" w:cs="Times New Roman"/>
      <w:lang w:val="nl-NL" w:eastAsia="nl-NL"/>
    </w:rPr>
  </w:style>
  <w:style w:type="character" w:customStyle="1" w:styleId="NoSpacingChar">
    <w:name w:val="No Spacing Char"/>
    <w:link w:val="NoSpacing"/>
    <w:uiPriority w:val="1"/>
    <w:rsid w:val="000742A8"/>
    <w:rPr>
      <w:rFonts w:ascii="Calibri" w:eastAsia="Times New Roman" w:hAnsi="Calibri" w:cs="Times New Roman"/>
      <w:lang w:val="nl-NL" w:eastAsia="nl-NL"/>
    </w:rPr>
  </w:style>
  <w:style w:type="paragraph" w:styleId="ListParagraph">
    <w:name w:val="List Paragraph"/>
    <w:basedOn w:val="Normal"/>
    <w:uiPriority w:val="34"/>
    <w:qFormat/>
    <w:rsid w:val="000742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List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HTML Cite"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2A8"/>
    <w:pPr>
      <w:spacing w:after="0" w:line="240" w:lineRule="auto"/>
    </w:pPr>
    <w:rPr>
      <w:rFonts w:ascii="Times New Roman" w:eastAsia="Times New Roman" w:hAnsi="Times New Roman" w:cs="Times New Roman"/>
      <w:sz w:val="24"/>
      <w:szCs w:val="24"/>
      <w:lang w:val="nl-NL" w:eastAsia="nl-NL"/>
    </w:rPr>
  </w:style>
  <w:style w:type="paragraph" w:styleId="Heading1">
    <w:name w:val="heading 1"/>
    <w:basedOn w:val="Normal"/>
    <w:next w:val="Normal"/>
    <w:link w:val="Heading1Char"/>
    <w:qFormat/>
    <w:rsid w:val="000742A8"/>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742A8"/>
    <w:rPr>
      <w:rFonts w:ascii="Cambria" w:eastAsia="Times New Roman" w:hAnsi="Cambria" w:cs="Times New Roman"/>
      <w:b/>
      <w:bCs/>
      <w:kern w:val="32"/>
      <w:sz w:val="32"/>
      <w:szCs w:val="32"/>
      <w:lang w:val="nl-NL" w:eastAsia="nl-NL"/>
    </w:rPr>
  </w:style>
  <w:style w:type="paragraph" w:styleId="ListNumber">
    <w:name w:val="List Number"/>
    <w:basedOn w:val="Normal"/>
    <w:rsid w:val="000742A8"/>
    <w:pPr>
      <w:spacing w:after="240"/>
      <w:jc w:val="both"/>
    </w:pPr>
    <w:rPr>
      <w:szCs w:val="20"/>
      <w:lang w:val="en-GB" w:eastAsia="en-US"/>
    </w:rPr>
  </w:style>
  <w:style w:type="paragraph" w:styleId="BodyText2">
    <w:name w:val="Body Text 2"/>
    <w:basedOn w:val="Normal"/>
    <w:link w:val="BodyText2Char"/>
    <w:rsid w:val="000742A8"/>
    <w:pPr>
      <w:spacing w:after="120" w:line="480" w:lineRule="auto"/>
    </w:pPr>
    <w:rPr>
      <w:rFonts w:ascii="Times" w:hAnsi="Times"/>
      <w:szCs w:val="20"/>
      <w:lang w:val="en-GB" w:eastAsia="en-US"/>
    </w:rPr>
  </w:style>
  <w:style w:type="character" w:customStyle="1" w:styleId="BodyText2Char">
    <w:name w:val="Body Text 2 Char"/>
    <w:basedOn w:val="DefaultParagraphFont"/>
    <w:link w:val="BodyText2"/>
    <w:rsid w:val="000742A8"/>
    <w:rPr>
      <w:rFonts w:ascii="Times" w:eastAsia="Times New Roman" w:hAnsi="Times" w:cs="Times New Roman"/>
      <w:sz w:val="24"/>
      <w:szCs w:val="20"/>
      <w:lang w:val="en-GB"/>
    </w:rPr>
  </w:style>
  <w:style w:type="paragraph" w:styleId="Footer">
    <w:name w:val="footer"/>
    <w:basedOn w:val="Normal"/>
    <w:link w:val="FooterChar"/>
    <w:rsid w:val="000742A8"/>
    <w:pPr>
      <w:tabs>
        <w:tab w:val="center" w:pos="4536"/>
        <w:tab w:val="right" w:pos="9072"/>
      </w:tabs>
    </w:pPr>
  </w:style>
  <w:style w:type="character" w:customStyle="1" w:styleId="FooterChar">
    <w:name w:val="Footer Char"/>
    <w:basedOn w:val="DefaultParagraphFont"/>
    <w:link w:val="Footer"/>
    <w:rsid w:val="000742A8"/>
    <w:rPr>
      <w:rFonts w:ascii="Times New Roman" w:eastAsia="Times New Roman" w:hAnsi="Times New Roman" w:cs="Times New Roman"/>
      <w:sz w:val="24"/>
      <w:szCs w:val="24"/>
      <w:lang w:val="nl-NL" w:eastAsia="nl-NL"/>
    </w:rPr>
  </w:style>
  <w:style w:type="character" w:styleId="PageNumber">
    <w:name w:val="page number"/>
    <w:basedOn w:val="DefaultParagraphFont"/>
    <w:rsid w:val="000742A8"/>
  </w:style>
  <w:style w:type="paragraph" w:styleId="Caption">
    <w:name w:val="caption"/>
    <w:basedOn w:val="Normal"/>
    <w:next w:val="Normal"/>
    <w:qFormat/>
    <w:rsid w:val="000742A8"/>
    <w:rPr>
      <w:b/>
      <w:bCs/>
      <w:sz w:val="20"/>
      <w:szCs w:val="20"/>
    </w:rPr>
  </w:style>
  <w:style w:type="paragraph" w:styleId="BalloonText">
    <w:name w:val="Balloon Text"/>
    <w:basedOn w:val="Normal"/>
    <w:link w:val="BalloonTextChar"/>
    <w:semiHidden/>
    <w:rsid w:val="000742A8"/>
    <w:rPr>
      <w:rFonts w:ascii="Tahoma" w:hAnsi="Tahoma" w:cs="Tahoma"/>
      <w:sz w:val="16"/>
      <w:szCs w:val="16"/>
    </w:rPr>
  </w:style>
  <w:style w:type="character" w:customStyle="1" w:styleId="BalloonTextChar">
    <w:name w:val="Balloon Text Char"/>
    <w:basedOn w:val="DefaultParagraphFont"/>
    <w:link w:val="BalloonText"/>
    <w:semiHidden/>
    <w:rsid w:val="000742A8"/>
    <w:rPr>
      <w:rFonts w:ascii="Tahoma" w:eastAsia="Times New Roman" w:hAnsi="Tahoma" w:cs="Tahoma"/>
      <w:sz w:val="16"/>
      <w:szCs w:val="16"/>
      <w:lang w:val="nl-NL" w:eastAsia="nl-NL"/>
    </w:rPr>
  </w:style>
  <w:style w:type="character" w:styleId="HTMLCite">
    <w:name w:val="HTML Cite"/>
    <w:rsid w:val="000742A8"/>
    <w:rPr>
      <w:i/>
      <w:iCs/>
    </w:rPr>
  </w:style>
  <w:style w:type="character" w:customStyle="1" w:styleId="cit-auth2">
    <w:name w:val="cit-auth2"/>
    <w:basedOn w:val="DefaultParagraphFont"/>
    <w:rsid w:val="000742A8"/>
  </w:style>
  <w:style w:type="character" w:customStyle="1" w:styleId="cit-name-surname">
    <w:name w:val="cit-name-surname"/>
    <w:basedOn w:val="DefaultParagraphFont"/>
    <w:rsid w:val="000742A8"/>
  </w:style>
  <w:style w:type="character" w:customStyle="1" w:styleId="cit-name-given-names">
    <w:name w:val="cit-name-given-names"/>
    <w:basedOn w:val="DefaultParagraphFont"/>
    <w:rsid w:val="000742A8"/>
  </w:style>
  <w:style w:type="character" w:customStyle="1" w:styleId="cit-etal">
    <w:name w:val="cit-etal"/>
    <w:basedOn w:val="DefaultParagraphFont"/>
    <w:rsid w:val="000742A8"/>
  </w:style>
  <w:style w:type="character" w:customStyle="1" w:styleId="cit-article-title">
    <w:name w:val="cit-article-title"/>
    <w:basedOn w:val="DefaultParagraphFont"/>
    <w:rsid w:val="000742A8"/>
  </w:style>
  <w:style w:type="character" w:customStyle="1" w:styleId="cit-pub-date">
    <w:name w:val="cit-pub-date"/>
    <w:basedOn w:val="DefaultParagraphFont"/>
    <w:rsid w:val="000742A8"/>
  </w:style>
  <w:style w:type="character" w:customStyle="1" w:styleId="cit-vol4">
    <w:name w:val="cit-vol4"/>
    <w:basedOn w:val="DefaultParagraphFont"/>
    <w:rsid w:val="000742A8"/>
  </w:style>
  <w:style w:type="character" w:customStyle="1" w:styleId="cit-fpage">
    <w:name w:val="cit-fpage"/>
    <w:basedOn w:val="DefaultParagraphFont"/>
    <w:rsid w:val="000742A8"/>
  </w:style>
  <w:style w:type="character" w:customStyle="1" w:styleId="cit-lpage">
    <w:name w:val="cit-lpage"/>
    <w:basedOn w:val="DefaultParagraphFont"/>
    <w:rsid w:val="000742A8"/>
  </w:style>
  <w:style w:type="paragraph" w:styleId="HTMLPreformatted">
    <w:name w:val="HTML Preformatted"/>
    <w:basedOn w:val="Normal"/>
    <w:link w:val="HTMLPreformattedChar"/>
    <w:rsid w:val="000742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0742A8"/>
    <w:rPr>
      <w:rFonts w:ascii="Courier New" w:eastAsia="Times New Roman" w:hAnsi="Courier New" w:cs="Courier New"/>
      <w:sz w:val="20"/>
      <w:szCs w:val="20"/>
      <w:lang w:val="nl-NL" w:eastAsia="nl-NL"/>
    </w:rPr>
  </w:style>
  <w:style w:type="character" w:styleId="CommentReference">
    <w:name w:val="annotation reference"/>
    <w:rsid w:val="000742A8"/>
    <w:rPr>
      <w:sz w:val="16"/>
      <w:szCs w:val="16"/>
    </w:rPr>
  </w:style>
  <w:style w:type="paragraph" w:styleId="CommentText">
    <w:name w:val="annotation text"/>
    <w:basedOn w:val="Normal"/>
    <w:link w:val="CommentTextChar"/>
    <w:rsid w:val="000742A8"/>
    <w:rPr>
      <w:sz w:val="20"/>
      <w:szCs w:val="20"/>
    </w:rPr>
  </w:style>
  <w:style w:type="character" w:customStyle="1" w:styleId="CommentTextChar">
    <w:name w:val="Comment Text Char"/>
    <w:basedOn w:val="DefaultParagraphFont"/>
    <w:link w:val="CommentText"/>
    <w:rsid w:val="000742A8"/>
    <w:rPr>
      <w:rFonts w:ascii="Times New Roman" w:eastAsia="Times New Roman" w:hAnsi="Times New Roman" w:cs="Times New Roman"/>
      <w:sz w:val="20"/>
      <w:szCs w:val="20"/>
      <w:lang w:val="nl-NL" w:eastAsia="nl-NL"/>
    </w:rPr>
  </w:style>
  <w:style w:type="paragraph" w:styleId="CommentSubject">
    <w:name w:val="annotation subject"/>
    <w:basedOn w:val="CommentText"/>
    <w:next w:val="CommentText"/>
    <w:link w:val="CommentSubjectChar"/>
    <w:rsid w:val="000742A8"/>
    <w:rPr>
      <w:b/>
      <w:bCs/>
      <w:lang w:val="x-none" w:eastAsia="x-none"/>
    </w:rPr>
  </w:style>
  <w:style w:type="character" w:customStyle="1" w:styleId="CommentSubjectChar">
    <w:name w:val="Comment Subject Char"/>
    <w:basedOn w:val="CommentTextChar"/>
    <w:link w:val="CommentSubject"/>
    <w:rsid w:val="000742A8"/>
    <w:rPr>
      <w:rFonts w:ascii="Times New Roman" w:eastAsia="Times New Roman" w:hAnsi="Times New Roman" w:cs="Times New Roman"/>
      <w:b/>
      <w:bCs/>
      <w:sz w:val="20"/>
      <w:szCs w:val="20"/>
      <w:lang w:val="x-none" w:eastAsia="x-none"/>
    </w:rPr>
  </w:style>
  <w:style w:type="paragraph" w:styleId="Header">
    <w:name w:val="header"/>
    <w:basedOn w:val="Normal"/>
    <w:link w:val="HeaderChar"/>
    <w:rsid w:val="000742A8"/>
    <w:pPr>
      <w:tabs>
        <w:tab w:val="center" w:pos="4536"/>
        <w:tab w:val="right" w:pos="9072"/>
      </w:tabs>
    </w:pPr>
  </w:style>
  <w:style w:type="character" w:customStyle="1" w:styleId="HeaderChar">
    <w:name w:val="Header Char"/>
    <w:basedOn w:val="DefaultParagraphFont"/>
    <w:link w:val="Header"/>
    <w:rsid w:val="000742A8"/>
    <w:rPr>
      <w:rFonts w:ascii="Times New Roman" w:eastAsia="Times New Roman" w:hAnsi="Times New Roman" w:cs="Times New Roman"/>
      <w:sz w:val="24"/>
      <w:szCs w:val="24"/>
      <w:lang w:val="nl-NL" w:eastAsia="nl-NL"/>
    </w:rPr>
  </w:style>
  <w:style w:type="paragraph" w:customStyle="1" w:styleId="Default">
    <w:name w:val="Default"/>
    <w:rsid w:val="000742A8"/>
    <w:pPr>
      <w:autoSpaceDE w:val="0"/>
      <w:autoSpaceDN w:val="0"/>
      <w:adjustRightInd w:val="0"/>
      <w:spacing w:after="0" w:line="240" w:lineRule="auto"/>
    </w:pPr>
    <w:rPr>
      <w:rFonts w:ascii="Times New Roman" w:eastAsia="Times New Roman" w:hAnsi="Times New Roman" w:cs="Times New Roman"/>
      <w:color w:val="000000"/>
      <w:sz w:val="24"/>
      <w:szCs w:val="24"/>
      <w:lang w:val="nl-NL" w:eastAsia="nl-NL"/>
    </w:rPr>
  </w:style>
  <w:style w:type="paragraph" w:styleId="FootnoteText">
    <w:name w:val="footnote text"/>
    <w:basedOn w:val="Normal"/>
    <w:link w:val="FootnoteTextChar"/>
    <w:semiHidden/>
    <w:rsid w:val="000742A8"/>
    <w:rPr>
      <w:sz w:val="20"/>
      <w:szCs w:val="20"/>
    </w:rPr>
  </w:style>
  <w:style w:type="character" w:customStyle="1" w:styleId="FootnoteTextChar">
    <w:name w:val="Footnote Text Char"/>
    <w:basedOn w:val="DefaultParagraphFont"/>
    <w:link w:val="FootnoteText"/>
    <w:semiHidden/>
    <w:rsid w:val="000742A8"/>
    <w:rPr>
      <w:rFonts w:ascii="Times New Roman" w:eastAsia="Times New Roman" w:hAnsi="Times New Roman" w:cs="Times New Roman"/>
      <w:sz w:val="20"/>
      <w:szCs w:val="20"/>
      <w:lang w:val="nl-NL" w:eastAsia="nl-NL"/>
    </w:rPr>
  </w:style>
  <w:style w:type="character" w:styleId="FootnoteReference">
    <w:name w:val="footnote reference"/>
    <w:semiHidden/>
    <w:rsid w:val="000742A8"/>
    <w:rPr>
      <w:vertAlign w:val="superscript"/>
    </w:rPr>
  </w:style>
  <w:style w:type="paragraph" w:styleId="NormalWeb">
    <w:name w:val="Normal (Web)"/>
    <w:basedOn w:val="Normal"/>
    <w:rsid w:val="000742A8"/>
    <w:pPr>
      <w:spacing w:before="100" w:beforeAutospacing="1" w:after="100" w:afterAutospacing="1"/>
    </w:pPr>
  </w:style>
  <w:style w:type="character" w:styleId="Hyperlink">
    <w:name w:val="Hyperlink"/>
    <w:rsid w:val="000742A8"/>
    <w:rPr>
      <w:color w:val="0000FF"/>
      <w:u w:val="single"/>
    </w:rPr>
  </w:style>
  <w:style w:type="paragraph" w:styleId="NoSpacing">
    <w:name w:val="No Spacing"/>
    <w:link w:val="NoSpacingChar"/>
    <w:uiPriority w:val="1"/>
    <w:qFormat/>
    <w:rsid w:val="000742A8"/>
    <w:pPr>
      <w:spacing w:after="0" w:line="240" w:lineRule="auto"/>
    </w:pPr>
    <w:rPr>
      <w:rFonts w:ascii="Calibri" w:eastAsia="Times New Roman" w:hAnsi="Calibri" w:cs="Times New Roman"/>
      <w:lang w:val="nl-NL" w:eastAsia="nl-NL"/>
    </w:rPr>
  </w:style>
  <w:style w:type="character" w:customStyle="1" w:styleId="NoSpacingChar">
    <w:name w:val="No Spacing Char"/>
    <w:link w:val="NoSpacing"/>
    <w:uiPriority w:val="1"/>
    <w:rsid w:val="000742A8"/>
    <w:rPr>
      <w:rFonts w:ascii="Calibri" w:eastAsia="Times New Roman" w:hAnsi="Calibri" w:cs="Times New Roman"/>
      <w:lang w:val="nl-NL" w:eastAsia="nl-NL"/>
    </w:rPr>
  </w:style>
  <w:style w:type="paragraph" w:styleId="ListParagraph">
    <w:name w:val="List Paragraph"/>
    <w:basedOn w:val="Normal"/>
    <w:uiPriority w:val="34"/>
    <w:qFormat/>
    <w:rsid w:val="000742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kulhanova@erasmusmc.nl" TargetMode="External"/><Relationship Id="rId13" Type="http://schemas.openxmlformats.org/officeDocument/2006/relationships/image" Target="media/image2.wmf"/><Relationship Id="rId18" Type="http://schemas.openxmlformats.org/officeDocument/2006/relationships/image" Target="media/image5.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4.jpg"/><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image" Target="media/image3.wmf"/><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23</Pages>
  <Words>6494</Words>
  <Characters>37019</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Erasmus MC</Company>
  <LinksUpToDate>false</LinksUpToDate>
  <CharactersWithSpaces>43427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 Kulhanova</dc:creator>
  <cp:lastModifiedBy>I. Kulhanova</cp:lastModifiedBy>
  <cp:revision>4</cp:revision>
  <dcterms:created xsi:type="dcterms:W3CDTF">2014-10-01T10:51:00Z</dcterms:created>
  <dcterms:modified xsi:type="dcterms:W3CDTF">2014-10-01T10:54:00Z</dcterms:modified>
</cp:coreProperties>
</file>