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2CBE" w:rsidRPr="005E32F1" w:rsidRDefault="00F832D8">
      <w:pPr>
        <w:rPr>
          <w:szCs w:val="22"/>
        </w:rPr>
      </w:pPr>
      <w:r w:rsidRPr="005E32F1">
        <w:rPr>
          <w:szCs w:val="22"/>
        </w:rPr>
        <w:t>Schade van derden vanuit een perspectief van benadeelden</w:t>
      </w:r>
    </w:p>
    <w:p w:rsidR="00F832D8" w:rsidRPr="005E32F1" w:rsidRDefault="00F832D8">
      <w:pPr>
        <w:rPr>
          <w:szCs w:val="22"/>
        </w:rPr>
      </w:pPr>
      <w:r w:rsidRPr="005E32F1">
        <w:rPr>
          <w:szCs w:val="22"/>
        </w:rPr>
        <w:t>S.D. Lindenbergh</w:t>
      </w:r>
      <w:r w:rsidR="00B51A47">
        <w:rPr>
          <w:rStyle w:val="FootnoteReference"/>
          <w:szCs w:val="22"/>
        </w:rPr>
        <w:footnoteReference w:id="1"/>
      </w:r>
    </w:p>
    <w:p w:rsidR="00F832D8" w:rsidRPr="005E32F1" w:rsidRDefault="00F832D8">
      <w:pPr>
        <w:rPr>
          <w:szCs w:val="22"/>
        </w:rPr>
      </w:pPr>
    </w:p>
    <w:p w:rsidR="00F832D8" w:rsidRDefault="00F832D8">
      <w:pPr>
        <w:rPr>
          <w:szCs w:val="22"/>
        </w:rPr>
      </w:pPr>
    </w:p>
    <w:p w:rsidR="00CD0FCF" w:rsidRPr="005E32F1" w:rsidRDefault="00CD0FCF">
      <w:pPr>
        <w:rPr>
          <w:szCs w:val="22"/>
        </w:rPr>
      </w:pPr>
    </w:p>
    <w:p w:rsidR="00F832D8" w:rsidRPr="005E32F1" w:rsidRDefault="00F832D8">
      <w:pPr>
        <w:rPr>
          <w:szCs w:val="22"/>
        </w:rPr>
      </w:pPr>
    </w:p>
    <w:p w:rsidR="00F832D8" w:rsidRPr="005E32F1" w:rsidRDefault="00F832D8" w:rsidP="00F832D8">
      <w:pPr>
        <w:pStyle w:val="ListParagraph"/>
        <w:numPr>
          <w:ilvl w:val="0"/>
          <w:numId w:val="2"/>
        </w:numPr>
        <w:rPr>
          <w:szCs w:val="22"/>
        </w:rPr>
      </w:pPr>
      <w:r w:rsidRPr="005E32F1">
        <w:rPr>
          <w:szCs w:val="22"/>
        </w:rPr>
        <w:t>Een individuele ervaring</w:t>
      </w:r>
      <w:r w:rsidR="005E32F1">
        <w:rPr>
          <w:szCs w:val="22"/>
        </w:rPr>
        <w:t xml:space="preserve"> en een wijze overweging</w:t>
      </w:r>
    </w:p>
    <w:p w:rsidR="00F832D8" w:rsidRPr="005E32F1" w:rsidRDefault="00F832D8">
      <w:pPr>
        <w:rPr>
          <w:szCs w:val="22"/>
        </w:rPr>
      </w:pPr>
    </w:p>
    <w:p w:rsidR="003D4B94" w:rsidRDefault="00F832D8">
      <w:pPr>
        <w:rPr>
          <w:rFonts w:cs="Arial"/>
          <w:szCs w:val="22"/>
        </w:rPr>
      </w:pPr>
      <w:r w:rsidRPr="005E32F1">
        <w:rPr>
          <w:rFonts w:cs="Arial"/>
          <w:szCs w:val="22"/>
        </w:rPr>
        <w:t xml:space="preserve">De ervaringen van de benadeelden uit </w:t>
      </w:r>
      <w:r w:rsidR="005E32F1">
        <w:rPr>
          <w:rFonts w:cs="Arial"/>
          <w:szCs w:val="22"/>
        </w:rPr>
        <w:t xml:space="preserve">het </w:t>
      </w:r>
      <w:r w:rsidRPr="005E32F1">
        <w:rPr>
          <w:rFonts w:cs="Arial"/>
          <w:szCs w:val="22"/>
        </w:rPr>
        <w:t xml:space="preserve">meest markante arrest over derdenschade van de afgelopen decennia, het Kruidhof-arrest, zijn natuurlijk ‘uniek’ en individueel, maar zij illustreren wellicht toch ook in bredere zin wat een ernstige letselschade betekent voor ‘derden’ die daarmee worden geconfronteerd. </w:t>
      </w:r>
      <w:r w:rsidR="003D4B94">
        <w:rPr>
          <w:rFonts w:cs="Arial"/>
          <w:szCs w:val="22"/>
        </w:rPr>
        <w:t>Ik neem daarom de vrijheid om een dergelijke individuele ervaring als vertrekpunt te kiezen</w:t>
      </w:r>
      <w:r w:rsidR="003E1F8B">
        <w:rPr>
          <w:rFonts w:cs="Arial"/>
          <w:szCs w:val="22"/>
        </w:rPr>
        <w:t xml:space="preserve"> voor enkele bespiegelingen over het consultatievoorstel</w:t>
      </w:r>
      <w:r w:rsidR="003D4B94">
        <w:rPr>
          <w:rFonts w:cs="Arial"/>
          <w:szCs w:val="22"/>
        </w:rPr>
        <w:t>.</w:t>
      </w:r>
      <w:r w:rsidR="0041764F">
        <w:rPr>
          <w:rStyle w:val="FootnoteReference"/>
          <w:rFonts w:cs="Arial"/>
          <w:szCs w:val="22"/>
        </w:rPr>
        <w:footnoteReference w:id="2"/>
      </w:r>
    </w:p>
    <w:p w:rsidR="003D4B94" w:rsidRDefault="003D4B94">
      <w:pPr>
        <w:rPr>
          <w:rFonts w:cs="Arial"/>
          <w:szCs w:val="22"/>
        </w:rPr>
      </w:pPr>
    </w:p>
    <w:p w:rsidR="00F832D8" w:rsidRPr="005E32F1" w:rsidRDefault="003D4B94">
      <w:pPr>
        <w:rPr>
          <w:rFonts w:cs="Arial"/>
          <w:szCs w:val="22"/>
        </w:rPr>
      </w:pPr>
      <w:r>
        <w:rPr>
          <w:rFonts w:cs="Arial"/>
          <w:szCs w:val="22"/>
        </w:rPr>
        <w:t>D</w:t>
      </w:r>
      <w:r w:rsidR="00F832D8" w:rsidRPr="005E32F1">
        <w:rPr>
          <w:rFonts w:cs="Arial"/>
          <w:szCs w:val="22"/>
        </w:rPr>
        <w:t xml:space="preserve">e vader van Hanneke Kruidhof, </w:t>
      </w:r>
      <w:r w:rsidR="0041764F">
        <w:rPr>
          <w:rFonts w:cs="Arial"/>
          <w:szCs w:val="22"/>
        </w:rPr>
        <w:t>een meisje dat</w:t>
      </w:r>
      <w:r w:rsidR="003E1F8B">
        <w:rPr>
          <w:rFonts w:cs="Arial"/>
          <w:szCs w:val="22"/>
        </w:rPr>
        <w:t xml:space="preserve"> op </w:t>
      </w:r>
      <w:r w:rsidR="00F832D8" w:rsidRPr="005E32F1">
        <w:rPr>
          <w:rFonts w:cs="Arial"/>
          <w:szCs w:val="22"/>
        </w:rPr>
        <w:t xml:space="preserve">11-jarige leeftijd </w:t>
      </w:r>
      <w:r w:rsidR="003E1F8B">
        <w:rPr>
          <w:rFonts w:cs="Arial"/>
          <w:szCs w:val="22"/>
        </w:rPr>
        <w:t>het slachtoffer werd van ernstige</w:t>
      </w:r>
      <w:r w:rsidR="00F832D8" w:rsidRPr="005E32F1">
        <w:rPr>
          <w:rFonts w:cs="Arial"/>
          <w:szCs w:val="22"/>
        </w:rPr>
        <w:t xml:space="preserve"> brandwonden, </w:t>
      </w:r>
      <w:r>
        <w:rPr>
          <w:rFonts w:cs="Arial"/>
          <w:szCs w:val="22"/>
        </w:rPr>
        <w:t xml:space="preserve">vertelde </w:t>
      </w:r>
      <w:r w:rsidR="00F832D8" w:rsidRPr="005E32F1">
        <w:rPr>
          <w:rFonts w:cs="Arial"/>
          <w:szCs w:val="22"/>
        </w:rPr>
        <w:t xml:space="preserve">over haar jeugd: </w:t>
      </w:r>
    </w:p>
    <w:p w:rsidR="00F832D8" w:rsidRPr="005E32F1" w:rsidRDefault="00F832D8">
      <w:pPr>
        <w:rPr>
          <w:rFonts w:cs="Arial"/>
          <w:szCs w:val="22"/>
        </w:rPr>
      </w:pPr>
    </w:p>
    <w:p w:rsidR="00F832D8" w:rsidRPr="00F832D8" w:rsidRDefault="00F832D8" w:rsidP="005E32F1">
      <w:pPr>
        <w:kinsoku w:val="0"/>
        <w:overflowPunct w:val="0"/>
        <w:ind w:left="720"/>
        <w:contextualSpacing/>
        <w:textAlignment w:val="baseline"/>
        <w:rPr>
          <w:rFonts w:cs="Arial"/>
          <w:szCs w:val="22"/>
        </w:rPr>
      </w:pPr>
      <w:r w:rsidRPr="00F832D8">
        <w:rPr>
          <w:rFonts w:eastAsiaTheme="minorEastAsia" w:cs="Arial"/>
          <w:color w:val="000000" w:themeColor="text1"/>
          <w:szCs w:val="22"/>
        </w:rPr>
        <w:t>‘Ze was een groot deel van de tijd bezig met overleven, terwijl het leven dan een speeltuin moet zijn. (…) Je wilt het graag anders zien en dat doet pijn.’</w:t>
      </w:r>
      <w:r w:rsidR="005E32F1">
        <w:rPr>
          <w:rStyle w:val="FootnoteReference"/>
          <w:rFonts w:eastAsiaTheme="minorEastAsia" w:cs="Arial"/>
          <w:color w:val="000000" w:themeColor="text1"/>
          <w:szCs w:val="22"/>
        </w:rPr>
        <w:footnoteReference w:id="3"/>
      </w:r>
    </w:p>
    <w:p w:rsidR="00F832D8" w:rsidRPr="005E32F1" w:rsidRDefault="00F832D8">
      <w:pPr>
        <w:rPr>
          <w:rFonts w:cs="Arial"/>
          <w:szCs w:val="22"/>
        </w:rPr>
      </w:pPr>
    </w:p>
    <w:p w:rsidR="00F832D8" w:rsidRPr="005E32F1" w:rsidRDefault="00F832D8">
      <w:pPr>
        <w:rPr>
          <w:rFonts w:cs="Arial"/>
          <w:szCs w:val="22"/>
        </w:rPr>
      </w:pPr>
      <w:r w:rsidRPr="005E32F1">
        <w:rPr>
          <w:rFonts w:cs="Arial"/>
          <w:szCs w:val="22"/>
        </w:rPr>
        <w:t>Dit illustreert</w:t>
      </w:r>
      <w:r w:rsidR="003E1F8B">
        <w:rPr>
          <w:rFonts w:cs="Arial"/>
          <w:szCs w:val="22"/>
        </w:rPr>
        <w:t xml:space="preserve"> heel beknopt</w:t>
      </w:r>
      <w:r w:rsidRPr="005E32F1">
        <w:rPr>
          <w:rFonts w:cs="Arial"/>
          <w:szCs w:val="22"/>
        </w:rPr>
        <w:t xml:space="preserve"> </w:t>
      </w:r>
      <w:r w:rsidR="003E1F8B">
        <w:rPr>
          <w:rFonts w:cs="Arial"/>
          <w:szCs w:val="22"/>
        </w:rPr>
        <w:t xml:space="preserve">een element van </w:t>
      </w:r>
      <w:r w:rsidR="0041764F">
        <w:rPr>
          <w:rFonts w:cs="Arial"/>
          <w:szCs w:val="22"/>
        </w:rPr>
        <w:t>het leed</w:t>
      </w:r>
      <w:r w:rsidRPr="005E32F1">
        <w:rPr>
          <w:rFonts w:cs="Arial"/>
          <w:szCs w:val="22"/>
        </w:rPr>
        <w:t xml:space="preserve"> d</w:t>
      </w:r>
      <w:r w:rsidR="0041764F">
        <w:rPr>
          <w:rFonts w:cs="Arial"/>
          <w:szCs w:val="22"/>
        </w:rPr>
        <w:t>at</w:t>
      </w:r>
      <w:r w:rsidRPr="005E32F1">
        <w:rPr>
          <w:rFonts w:cs="Arial"/>
          <w:szCs w:val="22"/>
        </w:rPr>
        <w:t xml:space="preserve"> een ouder kan ervaren door letsel dat zijn kind oploopt. Maar er had </w:t>
      </w:r>
      <w:r w:rsidR="005E32F1">
        <w:rPr>
          <w:rFonts w:cs="Arial"/>
          <w:szCs w:val="22"/>
        </w:rPr>
        <w:t xml:space="preserve">daarnaast </w:t>
      </w:r>
      <w:r w:rsidRPr="005E32F1">
        <w:rPr>
          <w:rFonts w:cs="Arial"/>
          <w:szCs w:val="22"/>
        </w:rPr>
        <w:t>ook een heel praktisch punt gespeeld. Zo vertelt vader Kruidhof:</w:t>
      </w:r>
    </w:p>
    <w:p w:rsidR="00F832D8" w:rsidRPr="005E32F1" w:rsidRDefault="00F832D8">
      <w:pPr>
        <w:rPr>
          <w:rFonts w:cs="Arial"/>
          <w:szCs w:val="22"/>
        </w:rPr>
      </w:pPr>
    </w:p>
    <w:p w:rsidR="00F832D8" w:rsidRPr="005E32F1" w:rsidRDefault="00F832D8" w:rsidP="00F832D8">
      <w:pPr>
        <w:ind w:left="720"/>
        <w:rPr>
          <w:rFonts w:cs="Arial"/>
          <w:szCs w:val="22"/>
        </w:rPr>
      </w:pPr>
      <w:r w:rsidRPr="005E32F1">
        <w:rPr>
          <w:rFonts w:cs="Arial"/>
          <w:szCs w:val="22"/>
        </w:rPr>
        <w:t>‘</w:t>
      </w:r>
      <w:r w:rsidRPr="005E32F1">
        <w:rPr>
          <w:rFonts w:eastAsiaTheme="minorEastAsia" w:cs="Arial"/>
          <w:color w:val="000000" w:themeColor="text1"/>
          <w:szCs w:val="22"/>
        </w:rPr>
        <w:t>Een groot probleem was de onzekerheid aan het begin. Als de verzekeringsmaatschappij eerder richtlijnen had gegeven ten aanzien van de kosten die we hadden mogen maken, was ons veel leed bespaard gebleven. Ik ben de eerste vijf weken op en neer gereden naar Beverwijk.</w:t>
      </w:r>
      <w:r w:rsidR="00701E49">
        <w:rPr>
          <w:rStyle w:val="FootnoteReference"/>
          <w:rFonts w:eastAsiaTheme="minorEastAsia" w:cs="Arial"/>
          <w:color w:val="000000" w:themeColor="text1"/>
          <w:szCs w:val="22"/>
        </w:rPr>
        <w:footnoteReference w:id="4"/>
      </w:r>
      <w:r w:rsidRPr="005E32F1">
        <w:rPr>
          <w:rFonts w:eastAsiaTheme="minorEastAsia" w:cs="Arial"/>
          <w:color w:val="000000" w:themeColor="text1"/>
          <w:szCs w:val="22"/>
        </w:rPr>
        <w:t xml:space="preserve"> Ik wist niet of we in een hotel mochten verblijven.’</w:t>
      </w:r>
    </w:p>
    <w:p w:rsidR="00F832D8" w:rsidRPr="005E32F1" w:rsidRDefault="00F832D8">
      <w:pPr>
        <w:rPr>
          <w:rFonts w:cs="Arial"/>
          <w:szCs w:val="22"/>
        </w:rPr>
      </w:pPr>
    </w:p>
    <w:p w:rsidR="003D4B94" w:rsidRDefault="005E32F1">
      <w:pPr>
        <w:rPr>
          <w:rFonts w:cs="Arial"/>
          <w:szCs w:val="22"/>
        </w:rPr>
      </w:pPr>
      <w:r w:rsidRPr="005E32F1">
        <w:rPr>
          <w:rFonts w:cs="Arial"/>
          <w:szCs w:val="22"/>
        </w:rPr>
        <w:t>Uit dit citaat spreekt onzekerheid over een praktisch</w:t>
      </w:r>
      <w:r>
        <w:rPr>
          <w:rFonts w:cs="Arial"/>
          <w:szCs w:val="22"/>
        </w:rPr>
        <w:t>e zorg</w:t>
      </w:r>
      <w:r w:rsidRPr="005E32F1">
        <w:rPr>
          <w:rFonts w:cs="Arial"/>
          <w:szCs w:val="22"/>
        </w:rPr>
        <w:t xml:space="preserve"> op een moment waarop onmiddellijk handelen – en dus directe duidelijkheid – nodig is.</w:t>
      </w:r>
    </w:p>
    <w:p w:rsidR="003D4B94" w:rsidRDefault="003D4B94">
      <w:pPr>
        <w:rPr>
          <w:rFonts w:cs="Arial"/>
          <w:szCs w:val="22"/>
        </w:rPr>
      </w:pPr>
    </w:p>
    <w:p w:rsidR="005E32F1" w:rsidRPr="005E32F1" w:rsidRDefault="003D4B94">
      <w:pPr>
        <w:rPr>
          <w:rFonts w:cs="Arial"/>
          <w:szCs w:val="22"/>
        </w:rPr>
      </w:pPr>
      <w:r>
        <w:rPr>
          <w:rFonts w:cs="Arial"/>
          <w:szCs w:val="22"/>
        </w:rPr>
        <w:t>H</w:t>
      </w:r>
      <w:r w:rsidR="005E32F1" w:rsidRPr="005E32F1">
        <w:rPr>
          <w:rFonts w:cs="Arial"/>
          <w:szCs w:val="22"/>
        </w:rPr>
        <w:t xml:space="preserve">et arrest dat de Hoge Raad uiteindelijk over de zaak wijst, </w:t>
      </w:r>
      <w:r>
        <w:rPr>
          <w:rFonts w:cs="Arial"/>
          <w:szCs w:val="22"/>
        </w:rPr>
        <w:t>bie</w:t>
      </w:r>
      <w:r w:rsidR="005E32F1" w:rsidRPr="005E32F1">
        <w:rPr>
          <w:rFonts w:cs="Arial"/>
          <w:szCs w:val="22"/>
        </w:rPr>
        <w:t>dt op het punt van de tijd besteed aan bezoek geen soelaas.</w:t>
      </w:r>
      <w:r>
        <w:rPr>
          <w:rStyle w:val="FootnoteReference"/>
          <w:rFonts w:cs="Arial"/>
          <w:szCs w:val="22"/>
        </w:rPr>
        <w:footnoteReference w:id="5"/>
      </w:r>
      <w:r w:rsidR="005E32F1" w:rsidRPr="005E32F1">
        <w:rPr>
          <w:rFonts w:cs="Arial"/>
          <w:szCs w:val="22"/>
        </w:rPr>
        <w:t xml:space="preserve"> Op een ander punt laat de Hoge Raad wel zien oog te hebben voor waar het benadeelden in werkelijkheid om gaat. Zo overweegt hij als aanloop naar zijn driedubbele salto over abstractie bij begroting van zorgschade:</w:t>
      </w:r>
    </w:p>
    <w:p w:rsidR="005E32F1" w:rsidRPr="005E32F1" w:rsidRDefault="005E32F1">
      <w:pPr>
        <w:rPr>
          <w:rFonts w:cs="Arial"/>
          <w:szCs w:val="22"/>
        </w:rPr>
      </w:pPr>
    </w:p>
    <w:p w:rsidR="00F832D8" w:rsidRPr="005E32F1" w:rsidRDefault="00F832D8" w:rsidP="005E32F1">
      <w:pPr>
        <w:ind w:left="720"/>
        <w:rPr>
          <w:rFonts w:eastAsiaTheme="minorEastAsia" w:cs="Arial"/>
          <w:color w:val="000000" w:themeColor="text1"/>
          <w:szCs w:val="22"/>
        </w:rPr>
      </w:pPr>
      <w:r w:rsidRPr="005E32F1">
        <w:rPr>
          <w:rFonts w:eastAsiaTheme="minorEastAsia" w:cs="Arial"/>
          <w:color w:val="000000" w:themeColor="text1"/>
          <w:szCs w:val="22"/>
        </w:rPr>
        <w:t xml:space="preserve">‘Wanneer iemand ten gevolge van een gebeurtenis waarvoor een ander aansprakelijk is ernstig letsel oploopt (…), is </w:t>
      </w:r>
      <w:r w:rsidRPr="009655A1">
        <w:rPr>
          <w:rFonts w:eastAsiaTheme="minorEastAsia" w:cs="Arial"/>
          <w:color w:val="000000" w:themeColor="text1"/>
          <w:szCs w:val="22"/>
        </w:rPr>
        <w:t xml:space="preserve">de aansprakelijke van aanvang af </w:t>
      </w:r>
      <w:r w:rsidRPr="009655A1">
        <w:rPr>
          <w:rFonts w:eastAsiaTheme="minorEastAsia" w:cs="Arial"/>
          <w:color w:val="000000" w:themeColor="text1"/>
          <w:szCs w:val="22"/>
        </w:rPr>
        <w:lastRenderedPageBreak/>
        <w:t xml:space="preserve">verplicht </w:t>
      </w:r>
      <w:r w:rsidRPr="009655A1">
        <w:rPr>
          <w:rFonts w:eastAsiaTheme="minorEastAsia" w:cs="Arial"/>
          <w:iCs/>
          <w:color w:val="000000" w:themeColor="text1"/>
          <w:szCs w:val="22"/>
        </w:rPr>
        <w:t>de gekwetste in staat te stellen</w:t>
      </w:r>
      <w:r w:rsidRPr="005E32F1">
        <w:rPr>
          <w:rFonts w:eastAsiaTheme="minorEastAsia" w:cs="Arial"/>
          <w:i/>
          <w:iCs/>
          <w:color w:val="000000" w:themeColor="text1"/>
          <w:szCs w:val="22"/>
        </w:rPr>
        <w:t xml:space="preserve"> </w:t>
      </w:r>
      <w:r w:rsidRPr="005E32F1">
        <w:rPr>
          <w:rFonts w:eastAsiaTheme="minorEastAsia" w:cs="Arial"/>
          <w:color w:val="000000" w:themeColor="text1"/>
          <w:szCs w:val="22"/>
        </w:rPr>
        <w:t>zich van d</w:t>
      </w:r>
      <w:r w:rsidR="00E0692F">
        <w:rPr>
          <w:rFonts w:eastAsiaTheme="minorEastAsia" w:cs="Arial"/>
          <w:color w:val="000000" w:themeColor="text1"/>
          <w:szCs w:val="22"/>
        </w:rPr>
        <w:t>[</w:t>
      </w:r>
      <w:r w:rsidRPr="005E32F1">
        <w:rPr>
          <w:rFonts w:eastAsiaTheme="minorEastAsia" w:cs="Arial"/>
          <w:color w:val="000000" w:themeColor="text1"/>
          <w:szCs w:val="22"/>
        </w:rPr>
        <w:t>i</w:t>
      </w:r>
      <w:r w:rsidR="00E0692F">
        <w:rPr>
          <w:rFonts w:eastAsiaTheme="minorEastAsia" w:cs="Arial"/>
          <w:color w:val="000000" w:themeColor="text1"/>
          <w:szCs w:val="22"/>
        </w:rPr>
        <w:t>]</w:t>
      </w:r>
      <w:r w:rsidRPr="005E32F1">
        <w:rPr>
          <w:rFonts w:eastAsiaTheme="minorEastAsia" w:cs="Arial"/>
          <w:color w:val="000000" w:themeColor="text1"/>
          <w:szCs w:val="22"/>
        </w:rPr>
        <w:t>e noodzakelijke verpleging en verzorging te voorzien.’</w:t>
      </w:r>
      <w:r w:rsidRPr="005E32F1">
        <w:rPr>
          <w:rStyle w:val="FootnoteReference"/>
          <w:rFonts w:eastAsiaTheme="minorEastAsia" w:cs="Arial"/>
          <w:color w:val="000000" w:themeColor="text1"/>
          <w:szCs w:val="22"/>
        </w:rPr>
        <w:footnoteReference w:id="6"/>
      </w:r>
    </w:p>
    <w:p w:rsidR="005E32F1" w:rsidRPr="005E32F1" w:rsidRDefault="005E32F1" w:rsidP="005E32F1">
      <w:pPr>
        <w:rPr>
          <w:rFonts w:eastAsiaTheme="minorEastAsia" w:cs="Arial"/>
          <w:color w:val="000000" w:themeColor="text1"/>
          <w:szCs w:val="22"/>
        </w:rPr>
      </w:pPr>
    </w:p>
    <w:p w:rsidR="004F0DED" w:rsidRDefault="005E32F1" w:rsidP="005E32F1">
      <w:pPr>
        <w:rPr>
          <w:rFonts w:eastAsiaTheme="minorEastAsia" w:cs="Arial"/>
          <w:color w:val="000000" w:themeColor="text1"/>
          <w:szCs w:val="22"/>
        </w:rPr>
      </w:pPr>
      <w:r w:rsidRPr="005E32F1">
        <w:rPr>
          <w:rFonts w:eastAsiaTheme="minorEastAsia" w:cs="Arial"/>
          <w:color w:val="000000" w:themeColor="text1"/>
          <w:szCs w:val="22"/>
        </w:rPr>
        <w:t>Deze overweging</w:t>
      </w:r>
      <w:r w:rsidR="00E0692F">
        <w:rPr>
          <w:rFonts w:eastAsiaTheme="minorEastAsia" w:cs="Arial"/>
          <w:color w:val="000000" w:themeColor="text1"/>
          <w:szCs w:val="22"/>
        </w:rPr>
        <w:t xml:space="preserve"> </w:t>
      </w:r>
      <w:r w:rsidRPr="005E32F1">
        <w:rPr>
          <w:rFonts w:eastAsiaTheme="minorEastAsia" w:cs="Arial"/>
          <w:color w:val="000000" w:themeColor="text1"/>
          <w:szCs w:val="22"/>
        </w:rPr>
        <w:t xml:space="preserve">laat heel goed zien waar het om gaat: </w:t>
      </w:r>
      <w:r w:rsidR="003D4B94">
        <w:rPr>
          <w:rFonts w:eastAsiaTheme="minorEastAsia" w:cs="Arial"/>
          <w:color w:val="000000" w:themeColor="text1"/>
          <w:szCs w:val="22"/>
        </w:rPr>
        <w:t xml:space="preserve">1) </w:t>
      </w:r>
      <w:r w:rsidRPr="005E32F1">
        <w:rPr>
          <w:rFonts w:eastAsiaTheme="minorEastAsia" w:cs="Arial"/>
          <w:color w:val="000000" w:themeColor="text1"/>
          <w:szCs w:val="22"/>
        </w:rPr>
        <w:t>het is de aansprakelijke die aan zet is,</w:t>
      </w:r>
      <w:r w:rsidR="003D4B94">
        <w:rPr>
          <w:rFonts w:eastAsiaTheme="minorEastAsia" w:cs="Arial"/>
          <w:color w:val="000000" w:themeColor="text1"/>
          <w:szCs w:val="22"/>
        </w:rPr>
        <w:t xml:space="preserve"> 2)</w:t>
      </w:r>
      <w:r w:rsidRPr="005E32F1">
        <w:rPr>
          <w:rFonts w:eastAsiaTheme="minorEastAsia" w:cs="Arial"/>
          <w:color w:val="000000" w:themeColor="text1"/>
          <w:szCs w:val="22"/>
        </w:rPr>
        <w:t xml:space="preserve"> hij is dat </w:t>
      </w:r>
      <w:r w:rsidR="009655A1">
        <w:rPr>
          <w:rFonts w:eastAsiaTheme="minorEastAsia" w:cs="Arial"/>
          <w:color w:val="000000" w:themeColor="text1"/>
          <w:szCs w:val="22"/>
        </w:rPr>
        <w:t>van aanvang af (</w:t>
      </w:r>
      <w:r w:rsidRPr="005E32F1">
        <w:rPr>
          <w:rFonts w:eastAsiaTheme="minorEastAsia" w:cs="Arial"/>
          <w:color w:val="000000" w:themeColor="text1"/>
          <w:szCs w:val="22"/>
        </w:rPr>
        <w:t>onmiddellijk na het ongeval</w:t>
      </w:r>
      <w:r w:rsidR="009655A1">
        <w:rPr>
          <w:rFonts w:eastAsiaTheme="minorEastAsia" w:cs="Arial"/>
          <w:color w:val="000000" w:themeColor="text1"/>
          <w:szCs w:val="22"/>
        </w:rPr>
        <w:t>)</w:t>
      </w:r>
      <w:r w:rsidRPr="005E32F1">
        <w:rPr>
          <w:rFonts w:eastAsiaTheme="minorEastAsia" w:cs="Arial"/>
          <w:color w:val="000000" w:themeColor="text1"/>
          <w:szCs w:val="22"/>
        </w:rPr>
        <w:t xml:space="preserve">, en </w:t>
      </w:r>
      <w:r w:rsidR="003D4B94">
        <w:rPr>
          <w:rFonts w:eastAsiaTheme="minorEastAsia" w:cs="Arial"/>
          <w:color w:val="000000" w:themeColor="text1"/>
          <w:szCs w:val="22"/>
        </w:rPr>
        <w:t xml:space="preserve">3) </w:t>
      </w:r>
      <w:r w:rsidRPr="005E32F1">
        <w:rPr>
          <w:rFonts w:eastAsiaTheme="minorEastAsia" w:cs="Arial"/>
          <w:color w:val="000000" w:themeColor="text1"/>
          <w:szCs w:val="22"/>
        </w:rPr>
        <w:t>hij moet voorzien in een (door hem veroorzaakte) behoefte van de gekwetste.</w:t>
      </w:r>
      <w:r w:rsidR="004F0DED">
        <w:rPr>
          <w:rFonts w:eastAsiaTheme="minorEastAsia" w:cs="Arial"/>
          <w:color w:val="000000" w:themeColor="text1"/>
          <w:szCs w:val="22"/>
        </w:rPr>
        <w:t xml:space="preserve"> Deze drie elementen wil ik hierna iets uitdiepen, omdat zij mijns inziens </w:t>
      </w:r>
      <w:r w:rsidR="003A47F0">
        <w:rPr>
          <w:rFonts w:eastAsiaTheme="minorEastAsia" w:cs="Arial"/>
          <w:color w:val="000000" w:themeColor="text1"/>
          <w:szCs w:val="22"/>
        </w:rPr>
        <w:t>openingen bieden om a</w:t>
      </w:r>
      <w:r w:rsidR="004F0DED">
        <w:rPr>
          <w:rFonts w:eastAsiaTheme="minorEastAsia" w:cs="Arial"/>
          <w:color w:val="000000" w:themeColor="text1"/>
          <w:szCs w:val="22"/>
        </w:rPr>
        <w:t>an behoeften van slachtoffers en van hun naasten</w:t>
      </w:r>
      <w:r w:rsidR="003A47F0">
        <w:rPr>
          <w:rFonts w:eastAsiaTheme="minorEastAsia" w:cs="Arial"/>
          <w:color w:val="000000" w:themeColor="text1"/>
          <w:szCs w:val="22"/>
        </w:rPr>
        <w:t xml:space="preserve"> tegemoet te komen</w:t>
      </w:r>
      <w:r w:rsidR="0041764F">
        <w:rPr>
          <w:rFonts w:eastAsiaTheme="minorEastAsia" w:cs="Arial"/>
          <w:color w:val="000000" w:themeColor="text1"/>
          <w:szCs w:val="22"/>
        </w:rPr>
        <w:t xml:space="preserve"> die ook onder het huidige recht nog onvoldoende zijn onderkend</w:t>
      </w:r>
      <w:r w:rsidR="004F0DED">
        <w:rPr>
          <w:rFonts w:eastAsiaTheme="minorEastAsia" w:cs="Arial"/>
          <w:color w:val="000000" w:themeColor="text1"/>
          <w:szCs w:val="22"/>
        </w:rPr>
        <w:t>.</w:t>
      </w:r>
      <w:r w:rsidR="003A47F0">
        <w:rPr>
          <w:rFonts w:eastAsiaTheme="minorEastAsia" w:cs="Arial"/>
          <w:color w:val="000000" w:themeColor="text1"/>
          <w:szCs w:val="22"/>
        </w:rPr>
        <w:t xml:space="preserve"> Dat vormt voor mij de opmaat voor enkele observaties over het voorliggende consultatievoorstel.</w:t>
      </w:r>
    </w:p>
    <w:p w:rsidR="004F0DED" w:rsidRDefault="004F0DED">
      <w:pPr>
        <w:rPr>
          <w:rFonts w:eastAsiaTheme="minorEastAsia" w:cs="Arial"/>
          <w:color w:val="000000" w:themeColor="text1"/>
          <w:szCs w:val="22"/>
        </w:rPr>
      </w:pPr>
    </w:p>
    <w:p w:rsidR="009655A1" w:rsidRDefault="009655A1">
      <w:pPr>
        <w:rPr>
          <w:rFonts w:eastAsiaTheme="minorEastAsia" w:cs="Arial"/>
          <w:color w:val="000000" w:themeColor="text1"/>
          <w:szCs w:val="22"/>
        </w:rPr>
      </w:pPr>
    </w:p>
    <w:p w:rsidR="005E32F1" w:rsidRDefault="004F0DED" w:rsidP="004F0DED">
      <w:pPr>
        <w:pStyle w:val="ListParagraph"/>
        <w:numPr>
          <w:ilvl w:val="0"/>
          <w:numId w:val="2"/>
        </w:numPr>
        <w:rPr>
          <w:rFonts w:eastAsiaTheme="minorEastAsia" w:cs="Arial"/>
          <w:color w:val="000000" w:themeColor="text1"/>
          <w:szCs w:val="22"/>
        </w:rPr>
      </w:pPr>
      <w:r>
        <w:rPr>
          <w:rFonts w:eastAsiaTheme="minorEastAsia" w:cs="Arial"/>
          <w:color w:val="000000" w:themeColor="text1"/>
          <w:szCs w:val="22"/>
        </w:rPr>
        <w:t>De aansprakelijke is aan zet</w:t>
      </w:r>
    </w:p>
    <w:p w:rsidR="004F0DED" w:rsidRDefault="004F0DED" w:rsidP="004F0DED">
      <w:pPr>
        <w:rPr>
          <w:rFonts w:eastAsiaTheme="minorEastAsia" w:cs="Arial"/>
          <w:color w:val="000000" w:themeColor="text1"/>
          <w:szCs w:val="22"/>
        </w:rPr>
      </w:pPr>
    </w:p>
    <w:p w:rsidR="00847AB4" w:rsidRDefault="009655A1" w:rsidP="004F0DED">
      <w:pPr>
        <w:rPr>
          <w:rFonts w:eastAsiaTheme="minorEastAsia" w:cs="Arial"/>
          <w:color w:val="000000" w:themeColor="text1"/>
          <w:szCs w:val="22"/>
        </w:rPr>
      </w:pPr>
      <w:r>
        <w:rPr>
          <w:rFonts w:eastAsiaTheme="minorEastAsia" w:cs="Arial"/>
          <w:color w:val="000000" w:themeColor="text1"/>
          <w:szCs w:val="22"/>
        </w:rPr>
        <w:t>In het Kruidhofarrest moest worden blootgelegd dat het in de eerste plaats de aansprakelijke was op wie een verplichting rustte</w:t>
      </w:r>
      <w:r w:rsidR="0041764F">
        <w:rPr>
          <w:rFonts w:eastAsiaTheme="minorEastAsia" w:cs="Arial"/>
          <w:color w:val="000000" w:themeColor="text1"/>
          <w:szCs w:val="22"/>
        </w:rPr>
        <w:t xml:space="preserve"> ter zake van de zorg voor het gewonde kind</w:t>
      </w:r>
      <w:r>
        <w:rPr>
          <w:rFonts w:eastAsiaTheme="minorEastAsia" w:cs="Arial"/>
          <w:color w:val="000000" w:themeColor="text1"/>
          <w:szCs w:val="22"/>
        </w:rPr>
        <w:t xml:space="preserve">. Dat was nodig, omdat </w:t>
      </w:r>
      <w:r w:rsidR="004F5E1F">
        <w:rPr>
          <w:rFonts w:eastAsiaTheme="minorEastAsia" w:cs="Arial"/>
          <w:color w:val="000000" w:themeColor="text1"/>
          <w:szCs w:val="22"/>
        </w:rPr>
        <w:t>de aansprakelijke</w:t>
      </w:r>
      <w:r>
        <w:rPr>
          <w:rFonts w:eastAsiaTheme="minorEastAsia" w:cs="Arial"/>
          <w:color w:val="000000" w:themeColor="text1"/>
          <w:szCs w:val="22"/>
        </w:rPr>
        <w:t xml:space="preserve"> het verweer had gevoerd dat op grond van het familierecht </w:t>
      </w:r>
      <w:r w:rsidR="0041764F">
        <w:rPr>
          <w:rFonts w:eastAsiaTheme="minorEastAsia" w:cs="Arial"/>
          <w:color w:val="000000" w:themeColor="text1"/>
          <w:szCs w:val="22"/>
        </w:rPr>
        <w:t xml:space="preserve">de ouders </w:t>
      </w:r>
      <w:r>
        <w:rPr>
          <w:rFonts w:eastAsiaTheme="minorEastAsia" w:cs="Arial"/>
          <w:color w:val="000000" w:themeColor="text1"/>
          <w:szCs w:val="22"/>
        </w:rPr>
        <w:t>zelf</w:t>
      </w:r>
      <w:r w:rsidR="0041764F">
        <w:rPr>
          <w:rFonts w:eastAsiaTheme="minorEastAsia" w:cs="Arial"/>
          <w:color w:val="000000" w:themeColor="text1"/>
          <w:szCs w:val="22"/>
        </w:rPr>
        <w:t xml:space="preserve"> al</w:t>
      </w:r>
      <w:r>
        <w:rPr>
          <w:rFonts w:eastAsiaTheme="minorEastAsia" w:cs="Arial"/>
          <w:color w:val="000000" w:themeColor="text1"/>
          <w:szCs w:val="22"/>
        </w:rPr>
        <w:t xml:space="preserve"> verplicht waren in de verzorging en verpleging van hun kind te voorzien. Om dat verweer </w:t>
      </w:r>
      <w:r w:rsidR="00452C27">
        <w:rPr>
          <w:rFonts w:eastAsiaTheme="minorEastAsia" w:cs="Arial"/>
          <w:color w:val="000000" w:themeColor="text1"/>
          <w:szCs w:val="22"/>
        </w:rPr>
        <w:t xml:space="preserve">te </w:t>
      </w:r>
      <w:r w:rsidR="0041764F">
        <w:rPr>
          <w:rFonts w:eastAsiaTheme="minorEastAsia" w:cs="Arial"/>
          <w:color w:val="000000" w:themeColor="text1"/>
          <w:szCs w:val="22"/>
        </w:rPr>
        <w:t>neutralise</w:t>
      </w:r>
      <w:r w:rsidR="00452C27">
        <w:rPr>
          <w:rFonts w:eastAsiaTheme="minorEastAsia" w:cs="Arial"/>
          <w:color w:val="000000" w:themeColor="text1"/>
          <w:szCs w:val="22"/>
        </w:rPr>
        <w:t>ren</w:t>
      </w:r>
      <w:r>
        <w:rPr>
          <w:rFonts w:eastAsiaTheme="minorEastAsia" w:cs="Arial"/>
          <w:color w:val="000000" w:themeColor="text1"/>
          <w:szCs w:val="22"/>
        </w:rPr>
        <w:t xml:space="preserve">, benadrukt de Hoge Raad dat, wie </w:t>
      </w:r>
      <w:r w:rsidR="003E1F8B">
        <w:rPr>
          <w:rFonts w:eastAsiaTheme="minorEastAsia" w:cs="Arial"/>
          <w:color w:val="000000" w:themeColor="text1"/>
          <w:szCs w:val="22"/>
        </w:rPr>
        <w:t xml:space="preserve">aan </w:t>
      </w:r>
      <w:r>
        <w:rPr>
          <w:rFonts w:eastAsiaTheme="minorEastAsia" w:cs="Arial"/>
          <w:color w:val="000000" w:themeColor="text1"/>
          <w:szCs w:val="22"/>
        </w:rPr>
        <w:t xml:space="preserve">een ander door onrechtmatig handelen schade toebrengt, in de eerste plaats zelf aan zet is om in de daardoor ontstane behoeften te voorzien. </w:t>
      </w:r>
      <w:r w:rsidR="00452C27">
        <w:rPr>
          <w:rFonts w:eastAsiaTheme="minorEastAsia" w:cs="Arial"/>
          <w:color w:val="000000" w:themeColor="text1"/>
          <w:szCs w:val="22"/>
        </w:rPr>
        <w:t>Vanuit dat perspectief verbleekt immers het verweer van de aansprakelijke dat (ook) op een ander een dergelijke verplichting rust.</w:t>
      </w:r>
      <w:r w:rsidR="0041764F">
        <w:rPr>
          <w:rStyle w:val="FootnoteReference"/>
          <w:rFonts w:eastAsiaTheme="minorEastAsia" w:cs="Arial"/>
          <w:color w:val="000000" w:themeColor="text1"/>
          <w:szCs w:val="22"/>
        </w:rPr>
        <w:footnoteReference w:id="7"/>
      </w:r>
      <w:r w:rsidR="00452C27">
        <w:rPr>
          <w:rFonts w:eastAsiaTheme="minorEastAsia" w:cs="Arial"/>
          <w:color w:val="000000" w:themeColor="text1"/>
          <w:szCs w:val="22"/>
        </w:rPr>
        <w:t xml:space="preserve"> </w:t>
      </w:r>
      <w:r>
        <w:rPr>
          <w:rFonts w:eastAsiaTheme="minorEastAsia" w:cs="Arial"/>
          <w:color w:val="000000" w:themeColor="text1"/>
          <w:szCs w:val="22"/>
        </w:rPr>
        <w:t xml:space="preserve">Wanneer men deze – op zichzelf voor de hand liggende – gedachte </w:t>
      </w:r>
      <w:r w:rsidR="00452C27">
        <w:rPr>
          <w:rFonts w:eastAsiaTheme="minorEastAsia" w:cs="Arial"/>
          <w:color w:val="000000" w:themeColor="text1"/>
          <w:szCs w:val="22"/>
        </w:rPr>
        <w:t>na</w:t>
      </w:r>
      <w:r>
        <w:rPr>
          <w:rFonts w:eastAsiaTheme="minorEastAsia" w:cs="Arial"/>
          <w:color w:val="000000" w:themeColor="text1"/>
          <w:szCs w:val="22"/>
        </w:rPr>
        <w:t xml:space="preserve">der </w:t>
      </w:r>
      <w:r w:rsidR="00452C27">
        <w:rPr>
          <w:rFonts w:eastAsiaTheme="minorEastAsia" w:cs="Arial"/>
          <w:color w:val="000000" w:themeColor="text1"/>
          <w:szCs w:val="22"/>
        </w:rPr>
        <w:t>bezie</w:t>
      </w:r>
      <w:r>
        <w:rPr>
          <w:rFonts w:eastAsiaTheme="minorEastAsia" w:cs="Arial"/>
          <w:color w:val="000000" w:themeColor="text1"/>
          <w:szCs w:val="22"/>
        </w:rPr>
        <w:t>t,</w:t>
      </w:r>
      <w:r w:rsidR="00452C27">
        <w:rPr>
          <w:rFonts w:eastAsiaTheme="minorEastAsia" w:cs="Arial"/>
          <w:color w:val="000000" w:themeColor="text1"/>
          <w:szCs w:val="22"/>
        </w:rPr>
        <w:t xml:space="preserve"> herkent </w:t>
      </w:r>
      <w:r w:rsidR="0041764F">
        <w:rPr>
          <w:rFonts w:eastAsiaTheme="minorEastAsia" w:cs="Arial"/>
          <w:color w:val="000000" w:themeColor="text1"/>
          <w:szCs w:val="22"/>
        </w:rPr>
        <w:t xml:space="preserve">men </w:t>
      </w:r>
      <w:r w:rsidR="00452C27">
        <w:rPr>
          <w:rFonts w:eastAsiaTheme="minorEastAsia" w:cs="Arial"/>
          <w:color w:val="000000" w:themeColor="text1"/>
          <w:szCs w:val="22"/>
        </w:rPr>
        <w:t>haar ook op andere terreinen:</w:t>
      </w:r>
      <w:r w:rsidR="004F5E1F">
        <w:rPr>
          <w:rFonts w:eastAsiaTheme="minorEastAsia" w:cs="Arial"/>
          <w:color w:val="000000" w:themeColor="text1"/>
          <w:szCs w:val="22"/>
        </w:rPr>
        <w:t xml:space="preserve"> de veroorzaker van wrongful birth of wrongful life, kan zich niet verschuilen achter de onderhoudsplicht van de ouders</w:t>
      </w:r>
      <w:r w:rsidR="00E0692F">
        <w:rPr>
          <w:rFonts w:eastAsiaTheme="minorEastAsia" w:cs="Arial"/>
          <w:color w:val="000000" w:themeColor="text1"/>
          <w:szCs w:val="22"/>
        </w:rPr>
        <w:t>,</w:t>
      </w:r>
      <w:r w:rsidR="004F5E1F">
        <w:rPr>
          <w:rStyle w:val="FootnoteReference"/>
          <w:rFonts w:eastAsiaTheme="minorEastAsia" w:cs="Arial"/>
          <w:color w:val="000000" w:themeColor="text1"/>
          <w:szCs w:val="22"/>
        </w:rPr>
        <w:footnoteReference w:id="8"/>
      </w:r>
      <w:r w:rsidR="004F5E1F">
        <w:rPr>
          <w:rFonts w:eastAsiaTheme="minorEastAsia" w:cs="Arial"/>
          <w:color w:val="000000" w:themeColor="text1"/>
          <w:szCs w:val="22"/>
        </w:rPr>
        <w:t xml:space="preserve"> en</w:t>
      </w:r>
      <w:r w:rsidR="00452C27">
        <w:rPr>
          <w:rFonts w:eastAsiaTheme="minorEastAsia" w:cs="Arial"/>
          <w:color w:val="000000" w:themeColor="text1"/>
          <w:szCs w:val="22"/>
        </w:rPr>
        <w:t xml:space="preserve"> ook verplichtingen van de benadeelde komen in een ander daglicht te staan wanneer de aansprakelijke zelf in vervulling </w:t>
      </w:r>
      <w:r w:rsidR="007357E8">
        <w:rPr>
          <w:rFonts w:eastAsiaTheme="minorEastAsia" w:cs="Arial"/>
          <w:color w:val="000000" w:themeColor="text1"/>
          <w:szCs w:val="22"/>
        </w:rPr>
        <w:t xml:space="preserve">daarvan </w:t>
      </w:r>
      <w:r w:rsidR="00452C27">
        <w:rPr>
          <w:rFonts w:eastAsiaTheme="minorEastAsia" w:cs="Arial"/>
          <w:color w:val="000000" w:themeColor="text1"/>
          <w:szCs w:val="22"/>
        </w:rPr>
        <w:t xml:space="preserve">kan voorzien. </w:t>
      </w:r>
      <w:r w:rsidR="003E1F8B">
        <w:rPr>
          <w:rFonts w:eastAsiaTheme="minorEastAsia" w:cs="Arial"/>
          <w:color w:val="000000" w:themeColor="text1"/>
          <w:szCs w:val="22"/>
        </w:rPr>
        <w:t>D</w:t>
      </w:r>
      <w:r w:rsidR="00452C27">
        <w:rPr>
          <w:rFonts w:eastAsiaTheme="minorEastAsia" w:cs="Arial"/>
          <w:color w:val="000000" w:themeColor="text1"/>
          <w:szCs w:val="22"/>
        </w:rPr>
        <w:t xml:space="preserve">e aansprakelijke die zich bijvoorbeeld achteraf </w:t>
      </w:r>
      <w:r w:rsidR="004F5E1F">
        <w:rPr>
          <w:rFonts w:eastAsiaTheme="minorEastAsia" w:cs="Arial"/>
          <w:color w:val="000000" w:themeColor="text1"/>
          <w:szCs w:val="22"/>
        </w:rPr>
        <w:t xml:space="preserve">in een procedure </w:t>
      </w:r>
      <w:r w:rsidR="00452C27">
        <w:rPr>
          <w:rFonts w:eastAsiaTheme="minorEastAsia" w:cs="Arial"/>
          <w:color w:val="000000" w:themeColor="text1"/>
          <w:szCs w:val="22"/>
        </w:rPr>
        <w:t>verweert met de stelling dat de benadeelde zich onvoldoende heeft ingespannen voor re-integratie, zal hebben u</w:t>
      </w:r>
      <w:r w:rsidR="007357E8">
        <w:rPr>
          <w:rFonts w:eastAsiaTheme="minorEastAsia" w:cs="Arial"/>
          <w:color w:val="000000" w:themeColor="text1"/>
          <w:szCs w:val="22"/>
        </w:rPr>
        <w:t>it te leggen wat zijn bijdrage aa</w:t>
      </w:r>
      <w:r w:rsidR="00452C27">
        <w:rPr>
          <w:rFonts w:eastAsiaTheme="minorEastAsia" w:cs="Arial"/>
          <w:color w:val="000000" w:themeColor="text1"/>
          <w:szCs w:val="22"/>
        </w:rPr>
        <w:t>n dat re-integratietraject is geweest, et cetera.</w:t>
      </w:r>
      <w:r w:rsidR="0041764F">
        <w:rPr>
          <w:rStyle w:val="FootnoteReference"/>
          <w:rFonts w:eastAsiaTheme="minorEastAsia" w:cs="Arial"/>
          <w:color w:val="000000" w:themeColor="text1"/>
          <w:szCs w:val="22"/>
        </w:rPr>
        <w:footnoteReference w:id="9"/>
      </w:r>
      <w:r w:rsidR="00452C27">
        <w:rPr>
          <w:rFonts w:eastAsiaTheme="minorEastAsia" w:cs="Arial"/>
          <w:color w:val="000000" w:themeColor="text1"/>
          <w:szCs w:val="22"/>
        </w:rPr>
        <w:t xml:space="preserve"> De aansprakelijke is dus (</w:t>
      </w:r>
      <w:r w:rsidR="007357E8">
        <w:rPr>
          <w:rFonts w:eastAsiaTheme="minorEastAsia" w:cs="Arial"/>
          <w:color w:val="000000" w:themeColor="text1"/>
          <w:szCs w:val="22"/>
        </w:rPr>
        <w:t>onmiddellijk</w:t>
      </w:r>
      <w:r w:rsidR="003F4891">
        <w:rPr>
          <w:rFonts w:eastAsiaTheme="minorEastAsia" w:cs="Arial"/>
          <w:color w:val="000000" w:themeColor="text1"/>
          <w:szCs w:val="22"/>
        </w:rPr>
        <w:t xml:space="preserve">) aan zet en de wijze waarop hij daarmee omgaat kan consequenties hebben voor de beoordeling </w:t>
      </w:r>
      <w:r w:rsidR="00A32C2F">
        <w:rPr>
          <w:rFonts w:eastAsiaTheme="minorEastAsia" w:cs="Arial"/>
          <w:color w:val="000000" w:themeColor="text1"/>
          <w:szCs w:val="22"/>
        </w:rPr>
        <w:t>van later door hem in te nemen stellingen.</w:t>
      </w:r>
    </w:p>
    <w:p w:rsidR="00847AB4" w:rsidRDefault="00847AB4" w:rsidP="004F0DED">
      <w:pPr>
        <w:rPr>
          <w:rFonts w:eastAsiaTheme="minorEastAsia" w:cs="Arial"/>
          <w:color w:val="000000" w:themeColor="text1"/>
          <w:szCs w:val="22"/>
        </w:rPr>
      </w:pPr>
    </w:p>
    <w:p w:rsidR="00847AB4" w:rsidRDefault="00847AB4" w:rsidP="004F0DED">
      <w:pPr>
        <w:rPr>
          <w:rFonts w:eastAsiaTheme="minorEastAsia" w:cs="Arial"/>
          <w:color w:val="000000" w:themeColor="text1"/>
          <w:szCs w:val="22"/>
        </w:rPr>
      </w:pPr>
    </w:p>
    <w:p w:rsidR="00847AB4" w:rsidRDefault="00847AB4" w:rsidP="00847AB4">
      <w:pPr>
        <w:pStyle w:val="ListParagraph"/>
        <w:numPr>
          <w:ilvl w:val="0"/>
          <w:numId w:val="2"/>
        </w:numPr>
        <w:rPr>
          <w:rFonts w:eastAsiaTheme="minorEastAsia" w:cs="Arial"/>
          <w:color w:val="000000" w:themeColor="text1"/>
          <w:szCs w:val="22"/>
        </w:rPr>
      </w:pPr>
      <w:r>
        <w:rPr>
          <w:rFonts w:eastAsiaTheme="minorEastAsia" w:cs="Arial"/>
          <w:color w:val="000000" w:themeColor="text1"/>
          <w:szCs w:val="22"/>
        </w:rPr>
        <w:t>Van aanvang af</w:t>
      </w:r>
    </w:p>
    <w:p w:rsidR="00847AB4" w:rsidRDefault="00847AB4" w:rsidP="004F0DED">
      <w:pPr>
        <w:rPr>
          <w:rFonts w:eastAsiaTheme="minorEastAsia" w:cs="Arial"/>
          <w:color w:val="000000" w:themeColor="text1"/>
          <w:szCs w:val="22"/>
        </w:rPr>
      </w:pPr>
    </w:p>
    <w:p w:rsidR="00847AB4" w:rsidRDefault="00847AB4" w:rsidP="00847AB4">
      <w:pPr>
        <w:rPr>
          <w:rFonts w:eastAsiaTheme="minorEastAsia" w:cs="Arial"/>
          <w:color w:val="000000" w:themeColor="text1"/>
          <w:szCs w:val="22"/>
        </w:rPr>
      </w:pPr>
      <w:r>
        <w:rPr>
          <w:rFonts w:eastAsiaTheme="minorEastAsia" w:cs="Arial"/>
          <w:color w:val="000000" w:themeColor="text1"/>
          <w:szCs w:val="22"/>
        </w:rPr>
        <w:t xml:space="preserve">Het schadevergoedingsrecht en het proces van schadeverhaal zijn in belangrijke mate gericht op het begroten en verhalen van een bedrag in geld om de schade ‘goed te maken’. </w:t>
      </w:r>
      <w:r w:rsidR="004F5E1F">
        <w:rPr>
          <w:rFonts w:eastAsiaTheme="minorEastAsia" w:cs="Arial"/>
          <w:color w:val="000000" w:themeColor="text1"/>
          <w:szCs w:val="22"/>
        </w:rPr>
        <w:t>Zij zijn</w:t>
      </w:r>
      <w:r>
        <w:rPr>
          <w:rFonts w:eastAsiaTheme="minorEastAsia" w:cs="Arial"/>
          <w:color w:val="000000" w:themeColor="text1"/>
          <w:szCs w:val="22"/>
        </w:rPr>
        <w:t xml:space="preserve"> dus vooral gericht op financiële</w:t>
      </w:r>
      <w:r w:rsidR="00452C27">
        <w:rPr>
          <w:rFonts w:eastAsiaTheme="minorEastAsia" w:cs="Arial"/>
          <w:color w:val="000000" w:themeColor="text1"/>
          <w:szCs w:val="22"/>
        </w:rPr>
        <w:t xml:space="preserve"> afwikkeling achteraf. </w:t>
      </w:r>
      <w:r w:rsidR="00314523">
        <w:rPr>
          <w:rFonts w:eastAsiaTheme="minorEastAsia" w:cs="Arial"/>
          <w:color w:val="000000" w:themeColor="text1"/>
          <w:szCs w:val="22"/>
        </w:rPr>
        <w:t xml:space="preserve">De Hoge Raad spreekt in dat verband van het brengen van de benadeelde in de vermogenspositie waarin hij zich zonder de aansprakelijkheidscheppende gebeurtenis zou hebben </w:t>
      </w:r>
      <w:r w:rsidR="00314523">
        <w:rPr>
          <w:rFonts w:eastAsiaTheme="minorEastAsia" w:cs="Arial"/>
          <w:color w:val="000000" w:themeColor="text1"/>
          <w:szCs w:val="22"/>
        </w:rPr>
        <w:lastRenderedPageBreak/>
        <w:t>bevonden.</w:t>
      </w:r>
      <w:r w:rsidR="00314523">
        <w:rPr>
          <w:rStyle w:val="FootnoteReference"/>
          <w:rFonts w:eastAsiaTheme="minorEastAsia" w:cs="Arial"/>
          <w:color w:val="000000" w:themeColor="text1"/>
          <w:szCs w:val="22"/>
        </w:rPr>
        <w:footnoteReference w:id="10"/>
      </w:r>
      <w:r w:rsidR="00314523">
        <w:rPr>
          <w:rFonts w:eastAsiaTheme="minorEastAsia" w:cs="Arial"/>
          <w:color w:val="000000" w:themeColor="text1"/>
          <w:szCs w:val="22"/>
        </w:rPr>
        <w:t xml:space="preserve"> Dat </w:t>
      </w:r>
      <w:r w:rsidR="004F5E1F">
        <w:rPr>
          <w:rFonts w:eastAsiaTheme="minorEastAsia" w:cs="Arial"/>
          <w:color w:val="000000" w:themeColor="text1"/>
          <w:szCs w:val="22"/>
        </w:rPr>
        <w:t xml:space="preserve">beeld </w:t>
      </w:r>
      <w:r w:rsidR="00314523">
        <w:rPr>
          <w:rFonts w:eastAsiaTheme="minorEastAsia" w:cs="Arial"/>
          <w:color w:val="000000" w:themeColor="text1"/>
          <w:szCs w:val="22"/>
        </w:rPr>
        <w:t xml:space="preserve">spreekt </w:t>
      </w:r>
      <w:r w:rsidR="0041764F">
        <w:rPr>
          <w:rFonts w:eastAsiaTheme="minorEastAsia" w:cs="Arial"/>
          <w:color w:val="000000" w:themeColor="text1"/>
          <w:szCs w:val="22"/>
        </w:rPr>
        <w:t xml:space="preserve">natuurlijk </w:t>
      </w:r>
      <w:r w:rsidR="004F5E1F">
        <w:rPr>
          <w:rFonts w:eastAsiaTheme="minorEastAsia" w:cs="Arial"/>
          <w:color w:val="000000" w:themeColor="text1"/>
          <w:szCs w:val="22"/>
        </w:rPr>
        <w:t>aan</w:t>
      </w:r>
      <w:r w:rsidR="00314523">
        <w:rPr>
          <w:rFonts w:eastAsiaTheme="minorEastAsia" w:cs="Arial"/>
          <w:color w:val="000000" w:themeColor="text1"/>
          <w:szCs w:val="22"/>
        </w:rPr>
        <w:t xml:space="preserve">, maar als men de kwestie vanuit </w:t>
      </w:r>
      <w:r w:rsidR="004F5E1F">
        <w:rPr>
          <w:rFonts w:eastAsiaTheme="minorEastAsia" w:cs="Arial"/>
          <w:color w:val="000000" w:themeColor="text1"/>
          <w:szCs w:val="22"/>
        </w:rPr>
        <w:t xml:space="preserve">zuiver </w:t>
      </w:r>
      <w:r w:rsidR="00314523">
        <w:rPr>
          <w:rFonts w:eastAsiaTheme="minorEastAsia" w:cs="Arial"/>
          <w:color w:val="000000" w:themeColor="text1"/>
          <w:szCs w:val="22"/>
        </w:rPr>
        <w:t xml:space="preserve">boekhoudkundig perspectief bekijkt, zou zelfs kunnen worden gezegd dat iemand die schade oploopt door andermans onrechtmatig handelen, daar </w:t>
      </w:r>
      <w:r w:rsidR="0041764F">
        <w:rPr>
          <w:rFonts w:eastAsiaTheme="minorEastAsia" w:cs="Arial"/>
          <w:color w:val="000000" w:themeColor="text1"/>
          <w:szCs w:val="22"/>
        </w:rPr>
        <w:t xml:space="preserve">vermogensrechtelijk </w:t>
      </w:r>
      <w:r w:rsidR="00314523">
        <w:rPr>
          <w:rFonts w:eastAsiaTheme="minorEastAsia" w:cs="Arial"/>
          <w:color w:val="000000" w:themeColor="text1"/>
          <w:szCs w:val="22"/>
        </w:rPr>
        <w:t xml:space="preserve">eigenlijk niet minder van wordt: tegenover iedere schadepost ontstaat </w:t>
      </w:r>
      <w:r w:rsidR="00A503B3">
        <w:rPr>
          <w:rFonts w:eastAsiaTheme="minorEastAsia" w:cs="Arial"/>
          <w:color w:val="000000" w:themeColor="text1"/>
          <w:szCs w:val="22"/>
        </w:rPr>
        <w:t xml:space="preserve">op de balans </w:t>
      </w:r>
      <w:r w:rsidR="00314523">
        <w:rPr>
          <w:rFonts w:eastAsiaTheme="minorEastAsia" w:cs="Arial"/>
          <w:color w:val="000000" w:themeColor="text1"/>
          <w:szCs w:val="22"/>
        </w:rPr>
        <w:t>immers onmiddellijk ook een vordering</w:t>
      </w:r>
      <w:r w:rsidR="0041764F">
        <w:rPr>
          <w:rFonts w:eastAsiaTheme="minorEastAsia" w:cs="Arial"/>
          <w:color w:val="000000" w:themeColor="text1"/>
          <w:szCs w:val="22"/>
        </w:rPr>
        <w:t xml:space="preserve"> van dezelfde omvang</w:t>
      </w:r>
      <w:r w:rsidR="00314523">
        <w:rPr>
          <w:rFonts w:eastAsiaTheme="minorEastAsia" w:cs="Arial"/>
          <w:color w:val="000000" w:themeColor="text1"/>
          <w:szCs w:val="22"/>
        </w:rPr>
        <w:t xml:space="preserve">. Het is </w:t>
      </w:r>
      <w:r w:rsidR="00A503B3">
        <w:rPr>
          <w:rFonts w:eastAsiaTheme="minorEastAsia" w:cs="Arial"/>
          <w:color w:val="000000" w:themeColor="text1"/>
          <w:szCs w:val="22"/>
        </w:rPr>
        <w:t xml:space="preserve">dan </w:t>
      </w:r>
      <w:r w:rsidR="00314523">
        <w:rPr>
          <w:rFonts w:eastAsiaTheme="minorEastAsia" w:cs="Arial"/>
          <w:color w:val="000000" w:themeColor="text1"/>
          <w:szCs w:val="22"/>
        </w:rPr>
        <w:t>‘alleen nog een kwestie van innen’.</w:t>
      </w:r>
    </w:p>
    <w:p w:rsidR="004F5E1F" w:rsidRDefault="004F5E1F" w:rsidP="00847AB4">
      <w:pPr>
        <w:rPr>
          <w:rFonts w:eastAsiaTheme="minorEastAsia" w:cs="Arial"/>
          <w:color w:val="000000" w:themeColor="text1"/>
          <w:szCs w:val="22"/>
        </w:rPr>
      </w:pPr>
    </w:p>
    <w:p w:rsidR="00A503B3" w:rsidRDefault="00314523" w:rsidP="00847AB4">
      <w:pPr>
        <w:rPr>
          <w:rFonts w:eastAsiaTheme="minorEastAsia" w:cs="Arial"/>
          <w:color w:val="000000" w:themeColor="text1"/>
          <w:szCs w:val="22"/>
        </w:rPr>
      </w:pPr>
      <w:r>
        <w:rPr>
          <w:rFonts w:eastAsiaTheme="minorEastAsia" w:cs="Arial"/>
          <w:color w:val="000000" w:themeColor="text1"/>
          <w:szCs w:val="22"/>
        </w:rPr>
        <w:t>Dit beeld doet n</w:t>
      </w:r>
      <w:r w:rsidR="00A503B3">
        <w:rPr>
          <w:rFonts w:eastAsiaTheme="minorEastAsia" w:cs="Arial"/>
          <w:color w:val="000000" w:themeColor="text1"/>
          <w:szCs w:val="22"/>
        </w:rPr>
        <w:t>atuurlijk</w:t>
      </w:r>
      <w:r>
        <w:rPr>
          <w:rFonts w:eastAsiaTheme="minorEastAsia" w:cs="Arial"/>
          <w:color w:val="000000" w:themeColor="text1"/>
          <w:szCs w:val="22"/>
        </w:rPr>
        <w:t xml:space="preserve"> geen recht aan de realiteit van het sch</w:t>
      </w:r>
      <w:r w:rsidR="00A503B3">
        <w:rPr>
          <w:rFonts w:eastAsiaTheme="minorEastAsia" w:cs="Arial"/>
          <w:color w:val="000000" w:themeColor="text1"/>
          <w:szCs w:val="22"/>
        </w:rPr>
        <w:t>a</w:t>
      </w:r>
      <w:r>
        <w:rPr>
          <w:rFonts w:eastAsiaTheme="minorEastAsia" w:cs="Arial"/>
          <w:color w:val="000000" w:themeColor="text1"/>
          <w:szCs w:val="22"/>
        </w:rPr>
        <w:t>devergoeding</w:t>
      </w:r>
      <w:r w:rsidR="00A503B3">
        <w:rPr>
          <w:rFonts w:eastAsiaTheme="minorEastAsia" w:cs="Arial"/>
          <w:color w:val="000000" w:themeColor="text1"/>
          <w:szCs w:val="22"/>
        </w:rPr>
        <w:t>s</w:t>
      </w:r>
      <w:r>
        <w:rPr>
          <w:rFonts w:eastAsiaTheme="minorEastAsia" w:cs="Arial"/>
          <w:color w:val="000000" w:themeColor="text1"/>
          <w:szCs w:val="22"/>
        </w:rPr>
        <w:t>recht, en al helemaal niet als het gaat om letsel.</w:t>
      </w:r>
      <w:r w:rsidR="00A503B3">
        <w:rPr>
          <w:rFonts w:eastAsiaTheme="minorEastAsia" w:cs="Arial"/>
          <w:color w:val="000000" w:themeColor="text1"/>
          <w:szCs w:val="22"/>
        </w:rPr>
        <w:t xml:space="preserve"> Ten aanzien van letsel is immers het slechte nieuws dat het nooit echt goed gemaakt kan worden: zelfs als letsel volledig herstelt, is de ervaring onuitwisbaar. Dat verklaart waarom er in geval van letsel naast een vergoeding voor vermogensschade ook plaats is voor een vergoeding voor ‘ander nadeel’. Het – min of meer – goede nieuws is evenwel dat slachtoffers van letsel als mens over een groot herstelvermogen beschikken: zij worden niet meer ‘de oude’, maar</w:t>
      </w:r>
      <w:r w:rsidR="00A8697A">
        <w:rPr>
          <w:rFonts w:eastAsiaTheme="minorEastAsia" w:cs="Arial"/>
          <w:color w:val="000000" w:themeColor="text1"/>
          <w:szCs w:val="22"/>
        </w:rPr>
        <w:t xml:space="preserve"> – in een ‘nieuwe’ situatie – d</w:t>
      </w:r>
      <w:r w:rsidR="00A503B3">
        <w:rPr>
          <w:rFonts w:eastAsiaTheme="minorEastAsia" w:cs="Arial"/>
          <w:color w:val="000000" w:themeColor="text1"/>
          <w:szCs w:val="22"/>
        </w:rPr>
        <w:t>oorgaans in ieder geval wel</w:t>
      </w:r>
      <w:r w:rsidR="00A8697A">
        <w:rPr>
          <w:rFonts w:eastAsiaTheme="minorEastAsia" w:cs="Arial"/>
          <w:color w:val="000000" w:themeColor="text1"/>
          <w:szCs w:val="22"/>
        </w:rPr>
        <w:t xml:space="preserve"> (tenminste een levenservaring)</w:t>
      </w:r>
      <w:r w:rsidR="00A503B3">
        <w:rPr>
          <w:rFonts w:eastAsiaTheme="minorEastAsia" w:cs="Arial"/>
          <w:color w:val="000000" w:themeColor="text1"/>
          <w:szCs w:val="22"/>
        </w:rPr>
        <w:t xml:space="preserve"> ‘wijzer’. Dat merk ik niet op om de ervaring van letsel te vergoelijken</w:t>
      </w:r>
      <w:r w:rsidR="004F5E1F">
        <w:rPr>
          <w:rFonts w:eastAsiaTheme="minorEastAsia" w:cs="Arial"/>
          <w:color w:val="000000" w:themeColor="text1"/>
          <w:szCs w:val="22"/>
        </w:rPr>
        <w:t xml:space="preserve"> (men zou nog eens op gedachten van voordeeltoerekening kunnen komen)</w:t>
      </w:r>
      <w:r w:rsidR="00A503B3">
        <w:rPr>
          <w:rFonts w:eastAsiaTheme="minorEastAsia" w:cs="Arial"/>
          <w:color w:val="000000" w:themeColor="text1"/>
          <w:szCs w:val="22"/>
        </w:rPr>
        <w:t xml:space="preserve">, maar om </w:t>
      </w:r>
      <w:r w:rsidR="004F5E1F">
        <w:rPr>
          <w:rFonts w:eastAsiaTheme="minorEastAsia" w:cs="Arial"/>
          <w:color w:val="000000" w:themeColor="text1"/>
          <w:szCs w:val="22"/>
        </w:rPr>
        <w:t xml:space="preserve">te benadrukken dat schadevergoeding bij letsel een dienende rol </w:t>
      </w:r>
      <w:r w:rsidR="009858C4">
        <w:rPr>
          <w:rFonts w:eastAsiaTheme="minorEastAsia" w:cs="Arial"/>
          <w:color w:val="000000" w:themeColor="text1"/>
          <w:szCs w:val="22"/>
        </w:rPr>
        <w:t>heeft</w:t>
      </w:r>
      <w:r w:rsidR="004F5E1F">
        <w:rPr>
          <w:rFonts w:eastAsiaTheme="minorEastAsia" w:cs="Arial"/>
          <w:color w:val="000000" w:themeColor="text1"/>
          <w:szCs w:val="22"/>
        </w:rPr>
        <w:t xml:space="preserve"> te vervullen bij het herstel</w:t>
      </w:r>
      <w:r w:rsidR="00A503B3">
        <w:rPr>
          <w:rFonts w:eastAsiaTheme="minorEastAsia" w:cs="Arial"/>
          <w:color w:val="000000" w:themeColor="text1"/>
          <w:szCs w:val="22"/>
        </w:rPr>
        <w:t>.</w:t>
      </w:r>
      <w:r w:rsidR="009858C4">
        <w:rPr>
          <w:rStyle w:val="FootnoteReference"/>
          <w:rFonts w:eastAsiaTheme="minorEastAsia" w:cs="Arial"/>
          <w:color w:val="000000" w:themeColor="text1"/>
          <w:szCs w:val="22"/>
        </w:rPr>
        <w:footnoteReference w:id="11"/>
      </w:r>
      <w:r w:rsidR="00A503B3">
        <w:rPr>
          <w:rFonts w:eastAsiaTheme="minorEastAsia" w:cs="Arial"/>
          <w:color w:val="000000" w:themeColor="text1"/>
          <w:szCs w:val="22"/>
        </w:rPr>
        <w:t xml:space="preserve"> Het laat wat mij betreft </w:t>
      </w:r>
      <w:r w:rsidR="004F5E1F">
        <w:rPr>
          <w:rFonts w:eastAsiaTheme="minorEastAsia" w:cs="Arial"/>
          <w:color w:val="000000" w:themeColor="text1"/>
          <w:szCs w:val="22"/>
        </w:rPr>
        <w:t xml:space="preserve">dan </w:t>
      </w:r>
      <w:r w:rsidR="00A503B3">
        <w:rPr>
          <w:rFonts w:eastAsiaTheme="minorEastAsia" w:cs="Arial"/>
          <w:color w:val="000000" w:themeColor="text1"/>
          <w:szCs w:val="22"/>
        </w:rPr>
        <w:t xml:space="preserve">ook zien waar het om moet gaan: geen herstel in de oude toestand, maar </w:t>
      </w:r>
      <w:r w:rsidR="003D4B94">
        <w:rPr>
          <w:rFonts w:eastAsiaTheme="minorEastAsia" w:cs="Arial"/>
          <w:color w:val="000000" w:themeColor="text1"/>
          <w:szCs w:val="22"/>
        </w:rPr>
        <w:t xml:space="preserve">veeleer </w:t>
      </w:r>
      <w:r w:rsidR="00A503B3">
        <w:rPr>
          <w:rFonts w:eastAsiaTheme="minorEastAsia" w:cs="Arial"/>
          <w:color w:val="000000" w:themeColor="text1"/>
          <w:szCs w:val="22"/>
        </w:rPr>
        <w:t>‘her’stel in een nieuwe toestand. Bij vergoeding van letselschade gaat het dus om een bijzondere vorm van herstel.</w:t>
      </w:r>
    </w:p>
    <w:p w:rsidR="004F5E1F" w:rsidRDefault="004F5E1F" w:rsidP="00847AB4">
      <w:pPr>
        <w:rPr>
          <w:rFonts w:eastAsiaTheme="minorEastAsia" w:cs="Arial"/>
          <w:color w:val="000000" w:themeColor="text1"/>
          <w:szCs w:val="22"/>
        </w:rPr>
      </w:pPr>
    </w:p>
    <w:p w:rsidR="00B37345" w:rsidRDefault="003D4B94" w:rsidP="00847AB4">
      <w:pPr>
        <w:rPr>
          <w:rFonts w:eastAsiaTheme="minorEastAsia" w:cs="Arial"/>
          <w:color w:val="000000" w:themeColor="text1"/>
          <w:szCs w:val="22"/>
        </w:rPr>
      </w:pPr>
      <w:r>
        <w:rPr>
          <w:rFonts w:eastAsiaTheme="minorEastAsia" w:cs="Arial"/>
          <w:color w:val="000000" w:themeColor="text1"/>
          <w:szCs w:val="22"/>
        </w:rPr>
        <w:t xml:space="preserve">Deze inleidende opmerkingen waren nodig om de uiterst illustratieve observatie van </w:t>
      </w:r>
      <w:r w:rsidR="00314523">
        <w:rPr>
          <w:rFonts w:eastAsiaTheme="minorEastAsia" w:cs="Arial"/>
          <w:color w:val="000000" w:themeColor="text1"/>
          <w:szCs w:val="22"/>
        </w:rPr>
        <w:t xml:space="preserve">vader Kruidhof </w:t>
      </w:r>
      <w:r>
        <w:rPr>
          <w:rFonts w:eastAsiaTheme="minorEastAsia" w:cs="Arial"/>
          <w:color w:val="000000" w:themeColor="text1"/>
          <w:szCs w:val="22"/>
        </w:rPr>
        <w:t>in perspectief te plaatsen</w:t>
      </w:r>
      <w:r w:rsidR="00314523">
        <w:rPr>
          <w:rFonts w:eastAsiaTheme="minorEastAsia" w:cs="Arial"/>
          <w:color w:val="000000" w:themeColor="text1"/>
          <w:szCs w:val="22"/>
        </w:rPr>
        <w:t xml:space="preserve">: </w:t>
      </w:r>
      <w:r>
        <w:rPr>
          <w:rFonts w:eastAsiaTheme="minorEastAsia" w:cs="Arial"/>
          <w:color w:val="000000" w:themeColor="text1"/>
          <w:szCs w:val="22"/>
        </w:rPr>
        <w:t xml:space="preserve">het slachtoffer van ernstig letsel en diens naasten worden acuut geconfronteerd met zorgen ten aanzien waarvan de aansprakelijke </w:t>
      </w:r>
      <w:r w:rsidRPr="004F5E1F">
        <w:rPr>
          <w:rFonts w:eastAsiaTheme="minorEastAsia" w:cs="Arial"/>
          <w:i/>
          <w:color w:val="000000" w:themeColor="text1"/>
          <w:szCs w:val="22"/>
        </w:rPr>
        <w:t>van aanvang af</w:t>
      </w:r>
      <w:r>
        <w:rPr>
          <w:rFonts w:eastAsiaTheme="minorEastAsia" w:cs="Arial"/>
          <w:color w:val="000000" w:themeColor="text1"/>
          <w:szCs w:val="22"/>
        </w:rPr>
        <w:t xml:space="preserve"> een ‘zorg’plicht heeft.</w:t>
      </w:r>
      <w:r w:rsidR="004F5E1F">
        <w:rPr>
          <w:rFonts w:eastAsiaTheme="minorEastAsia" w:cs="Arial"/>
          <w:color w:val="000000" w:themeColor="text1"/>
          <w:szCs w:val="22"/>
        </w:rPr>
        <w:t xml:space="preserve"> Van aanvang af rust dus op de aa</w:t>
      </w:r>
      <w:r w:rsidR="007468F9">
        <w:rPr>
          <w:rFonts w:eastAsiaTheme="minorEastAsia" w:cs="Arial"/>
          <w:color w:val="000000" w:themeColor="text1"/>
          <w:szCs w:val="22"/>
        </w:rPr>
        <w:t>nsprakelijke een herstelplicht.</w:t>
      </w:r>
      <w:r w:rsidR="00B37345">
        <w:rPr>
          <w:rFonts w:eastAsiaTheme="minorEastAsia" w:cs="Arial"/>
          <w:color w:val="000000" w:themeColor="text1"/>
          <w:szCs w:val="22"/>
        </w:rPr>
        <w:t xml:space="preserve"> Gelezen in combinatie met het eerdergenoemde aspect dat de aansprakelijke aan zet is, betekent het voorgaande dat de aansprakelijke die over professionele kennis ter zake van herstel beschikt – zoals mag worden verwacht van een verzekeraar die veelvuldig met personenschade van doen heeft – van aanvang af </w:t>
      </w:r>
      <w:r w:rsidR="00B37345">
        <w:rPr>
          <w:rFonts w:eastAsiaTheme="minorEastAsia" w:cs="Arial"/>
          <w:i/>
          <w:color w:val="000000" w:themeColor="text1"/>
          <w:szCs w:val="22"/>
        </w:rPr>
        <w:t xml:space="preserve">feitelijk </w:t>
      </w:r>
      <w:r w:rsidR="00B37345">
        <w:rPr>
          <w:rFonts w:eastAsiaTheme="minorEastAsia" w:cs="Arial"/>
          <w:color w:val="000000" w:themeColor="text1"/>
          <w:szCs w:val="22"/>
        </w:rPr>
        <w:t xml:space="preserve">het redelijke moet doen om de benadeelde te ondersteunen in diens herstel. Ontzorgen, dan wel het ondersteunen van de benadeelde en diens omgeving in het bieden van passende zorg, </w:t>
      </w:r>
      <w:r w:rsidR="002267A4">
        <w:rPr>
          <w:rFonts w:eastAsiaTheme="minorEastAsia" w:cs="Arial"/>
          <w:color w:val="000000" w:themeColor="text1"/>
          <w:szCs w:val="22"/>
        </w:rPr>
        <w:t>vormt</w:t>
      </w:r>
      <w:r w:rsidR="00B37345">
        <w:rPr>
          <w:rFonts w:eastAsiaTheme="minorEastAsia" w:cs="Arial"/>
          <w:color w:val="000000" w:themeColor="text1"/>
          <w:szCs w:val="22"/>
        </w:rPr>
        <w:t xml:space="preserve"> daaraan een passende bijdrage.</w:t>
      </w:r>
    </w:p>
    <w:p w:rsidR="00B37345" w:rsidRDefault="00B37345" w:rsidP="00847AB4">
      <w:pPr>
        <w:rPr>
          <w:rFonts w:eastAsiaTheme="minorEastAsia" w:cs="Arial"/>
          <w:color w:val="000000" w:themeColor="text1"/>
          <w:szCs w:val="22"/>
        </w:rPr>
      </w:pPr>
    </w:p>
    <w:p w:rsidR="002A5CE9" w:rsidRDefault="002A5CE9" w:rsidP="002A5CE9">
      <w:pPr>
        <w:rPr>
          <w:rFonts w:eastAsiaTheme="minorEastAsia" w:cs="Arial"/>
          <w:color w:val="000000" w:themeColor="text1"/>
          <w:szCs w:val="22"/>
        </w:rPr>
      </w:pPr>
      <w:r>
        <w:rPr>
          <w:rFonts w:eastAsiaTheme="minorEastAsia" w:cs="Arial"/>
          <w:color w:val="000000" w:themeColor="text1"/>
          <w:szCs w:val="22"/>
        </w:rPr>
        <w:t>Ook in verband met overlijdensschade heeft de Hoge Raad overigens getoond dat onmiddellijke betrokkenheid van de aansprakelijke nodig is. Zo overwoog hij met betrekking tot de vergoeding van derving van levensonderhoud ‘in natura’:</w:t>
      </w:r>
    </w:p>
    <w:p w:rsidR="002A5CE9" w:rsidRDefault="002A5CE9" w:rsidP="002A5CE9">
      <w:pPr>
        <w:rPr>
          <w:rFonts w:eastAsiaTheme="minorEastAsia" w:cs="Arial"/>
          <w:color w:val="000000" w:themeColor="text1"/>
          <w:szCs w:val="22"/>
        </w:rPr>
      </w:pPr>
    </w:p>
    <w:p w:rsidR="002A5CE9" w:rsidRDefault="00E0692F" w:rsidP="002A5CE9">
      <w:pPr>
        <w:ind w:left="720"/>
        <w:rPr>
          <w:rFonts w:eastAsiaTheme="minorEastAsia" w:cs="Arial"/>
          <w:color w:val="000000" w:themeColor="text1"/>
          <w:szCs w:val="22"/>
        </w:rPr>
      </w:pPr>
      <w:r>
        <w:rPr>
          <w:rStyle w:val="tdefault"/>
          <w:color w:val="000000"/>
        </w:rPr>
        <w:t>‘</w:t>
      </w:r>
      <w:r w:rsidR="002A5CE9" w:rsidRPr="007A4104">
        <w:rPr>
          <w:rStyle w:val="tdefault"/>
          <w:color w:val="000000"/>
        </w:rPr>
        <w:t xml:space="preserve">Gelet op deze aard van de schadepost, maar ook om mogelijk te maken dat zo spoedig mogelijk na het ongeval in overleg tussen de aansprakelijke partij en de benadeelden een passende vergoeding voor deze vorm van gederfd levensonderhoud kan worden vastgesteld, ligt het voor de hand om bij de vaststelling van de behoefte van de kinderen aan een voorziening voor vervangende huishoudelijke hulp uit te gaan van de na het ongeval bekende concrete omstandigheden waarin zij tot aan hun meerderjarigheid zullen verkeren, en daarbij geen rekening te houden met het antwoord op de vraag of </w:t>
      </w:r>
      <w:r w:rsidR="002A5CE9" w:rsidRPr="007A4104">
        <w:rPr>
          <w:rStyle w:val="tdefault"/>
          <w:color w:val="000000"/>
        </w:rPr>
        <w:lastRenderedPageBreak/>
        <w:t>reeds daadwerkelijk is voorzien in professionele huishoudelijke hulp dan wel of de mogelijkheid bestaat dat de overblijvende ouder in de toekomst gaat trouwen of samenwonen met een nieuwe partner die huishoudelijke taken in het gezin kan gaan verrichten.</w:t>
      </w:r>
      <w:r>
        <w:rPr>
          <w:rStyle w:val="tdefault"/>
          <w:color w:val="000000"/>
        </w:rPr>
        <w:t>’</w:t>
      </w:r>
      <w:r w:rsidR="002A5CE9">
        <w:rPr>
          <w:rStyle w:val="FootnoteReference"/>
        </w:rPr>
        <w:footnoteReference w:id="12"/>
      </w:r>
    </w:p>
    <w:p w:rsidR="002A5CE9" w:rsidRDefault="002A5CE9" w:rsidP="00847AB4">
      <w:pPr>
        <w:rPr>
          <w:rFonts w:eastAsiaTheme="minorEastAsia" w:cs="Arial"/>
          <w:color w:val="000000" w:themeColor="text1"/>
          <w:szCs w:val="22"/>
        </w:rPr>
      </w:pPr>
    </w:p>
    <w:p w:rsidR="007468F9" w:rsidRDefault="002A5CE9" w:rsidP="00847AB4">
      <w:pPr>
        <w:rPr>
          <w:rFonts w:eastAsiaTheme="minorEastAsia" w:cs="Arial"/>
          <w:color w:val="000000" w:themeColor="text1"/>
          <w:szCs w:val="22"/>
        </w:rPr>
      </w:pPr>
      <w:r>
        <w:rPr>
          <w:rFonts w:eastAsiaTheme="minorEastAsia" w:cs="Arial"/>
          <w:color w:val="000000" w:themeColor="text1"/>
          <w:szCs w:val="22"/>
        </w:rPr>
        <w:t>Laat de aansprakelijke die kans ongebruikt</w:t>
      </w:r>
      <w:r w:rsidR="00B37345">
        <w:rPr>
          <w:rFonts w:eastAsiaTheme="minorEastAsia" w:cs="Arial"/>
          <w:color w:val="000000" w:themeColor="text1"/>
          <w:szCs w:val="22"/>
        </w:rPr>
        <w:t xml:space="preserve">, dan </w:t>
      </w:r>
      <w:r w:rsidR="007468F9">
        <w:rPr>
          <w:rFonts w:eastAsiaTheme="minorEastAsia" w:cs="Arial"/>
          <w:color w:val="000000" w:themeColor="text1"/>
          <w:szCs w:val="22"/>
        </w:rPr>
        <w:t xml:space="preserve">is </w:t>
      </w:r>
      <w:r w:rsidR="00B37345">
        <w:rPr>
          <w:rFonts w:eastAsiaTheme="minorEastAsia" w:cs="Arial"/>
          <w:color w:val="000000" w:themeColor="text1"/>
          <w:szCs w:val="22"/>
        </w:rPr>
        <w:t>hij</w:t>
      </w:r>
      <w:r w:rsidR="007468F9">
        <w:rPr>
          <w:rFonts w:eastAsiaTheme="minorEastAsia" w:cs="Arial"/>
          <w:color w:val="000000" w:themeColor="text1"/>
          <w:szCs w:val="22"/>
        </w:rPr>
        <w:t xml:space="preserve"> beperkt in het met succes in twijfel trekken van de redelijkheid van keuzes die de benade</w:t>
      </w:r>
      <w:r w:rsidR="00A8264B">
        <w:rPr>
          <w:rFonts w:eastAsiaTheme="minorEastAsia" w:cs="Arial"/>
          <w:color w:val="000000" w:themeColor="text1"/>
          <w:szCs w:val="22"/>
        </w:rPr>
        <w:t>elde (of in diens plaats zijn ou</w:t>
      </w:r>
      <w:r w:rsidR="007468F9">
        <w:rPr>
          <w:rFonts w:eastAsiaTheme="minorEastAsia" w:cs="Arial"/>
          <w:color w:val="000000" w:themeColor="text1"/>
          <w:szCs w:val="22"/>
        </w:rPr>
        <w:t>ders) he</w:t>
      </w:r>
      <w:r w:rsidR="00B37345">
        <w:rPr>
          <w:rFonts w:eastAsiaTheme="minorEastAsia" w:cs="Arial"/>
          <w:color w:val="000000" w:themeColor="text1"/>
          <w:szCs w:val="22"/>
        </w:rPr>
        <w:t>eft</w:t>
      </w:r>
      <w:r w:rsidR="007468F9">
        <w:rPr>
          <w:rFonts w:eastAsiaTheme="minorEastAsia" w:cs="Arial"/>
          <w:color w:val="000000" w:themeColor="text1"/>
          <w:szCs w:val="22"/>
        </w:rPr>
        <w:t xml:space="preserve"> gemaakt om aan het herstel bij te dragen. De kosten van die keuzes kunnen immers worden gezien als kosten ter beperking van schade, die krachtens art. 6:96 lid 2 onder a BW zijn onderworpen aan de zogenaamde dubbele redelijkheidstoets. Die toets moet worden aangelegd naar het moment waarop de keuze werd gemaakt; </w:t>
      </w:r>
      <w:r w:rsidR="00B37345">
        <w:rPr>
          <w:rFonts w:eastAsiaTheme="minorEastAsia" w:cs="Arial"/>
          <w:color w:val="000000" w:themeColor="text1"/>
          <w:szCs w:val="22"/>
        </w:rPr>
        <w:t xml:space="preserve">wijsheid </w:t>
      </w:r>
      <w:r w:rsidR="007468F9">
        <w:rPr>
          <w:rFonts w:eastAsiaTheme="minorEastAsia" w:cs="Arial"/>
          <w:color w:val="000000" w:themeColor="text1"/>
          <w:szCs w:val="22"/>
        </w:rPr>
        <w:t xml:space="preserve">achteraf </w:t>
      </w:r>
      <w:r w:rsidR="00B37345">
        <w:rPr>
          <w:rFonts w:eastAsiaTheme="minorEastAsia" w:cs="Arial"/>
          <w:color w:val="000000" w:themeColor="text1"/>
          <w:szCs w:val="22"/>
        </w:rPr>
        <w:t>is</w:t>
      </w:r>
      <w:r w:rsidR="007468F9">
        <w:rPr>
          <w:rFonts w:eastAsiaTheme="minorEastAsia" w:cs="Arial"/>
          <w:color w:val="000000" w:themeColor="text1"/>
          <w:szCs w:val="22"/>
        </w:rPr>
        <w:t xml:space="preserve"> daarbij </w:t>
      </w:r>
      <w:r w:rsidR="00B37345">
        <w:rPr>
          <w:rFonts w:eastAsiaTheme="minorEastAsia" w:cs="Arial"/>
          <w:color w:val="000000" w:themeColor="text1"/>
          <w:szCs w:val="22"/>
        </w:rPr>
        <w:t>niet maatgevend</w:t>
      </w:r>
      <w:r>
        <w:rPr>
          <w:rFonts w:eastAsiaTheme="minorEastAsia" w:cs="Arial"/>
          <w:color w:val="000000" w:themeColor="text1"/>
          <w:szCs w:val="22"/>
        </w:rPr>
        <w:t>, en al helemaal niet als de ‘beste stuurlui aan wal</w:t>
      </w:r>
      <w:r w:rsidR="002267A4">
        <w:rPr>
          <w:rFonts w:eastAsiaTheme="minorEastAsia" w:cs="Arial"/>
          <w:color w:val="000000" w:themeColor="text1"/>
          <w:szCs w:val="22"/>
        </w:rPr>
        <w:t xml:space="preserve">’ </w:t>
      </w:r>
      <w:r>
        <w:rPr>
          <w:rFonts w:eastAsiaTheme="minorEastAsia" w:cs="Arial"/>
          <w:color w:val="000000" w:themeColor="text1"/>
          <w:szCs w:val="22"/>
        </w:rPr>
        <w:t>zijn gebleven</w:t>
      </w:r>
      <w:r w:rsidR="007468F9">
        <w:rPr>
          <w:rFonts w:eastAsiaTheme="minorEastAsia" w:cs="Arial"/>
          <w:color w:val="000000" w:themeColor="text1"/>
          <w:szCs w:val="22"/>
        </w:rPr>
        <w:t>.</w:t>
      </w:r>
    </w:p>
    <w:p w:rsidR="007468F9" w:rsidRDefault="007468F9" w:rsidP="00847AB4">
      <w:pPr>
        <w:rPr>
          <w:rFonts w:eastAsiaTheme="minorEastAsia" w:cs="Arial"/>
          <w:color w:val="000000" w:themeColor="text1"/>
          <w:szCs w:val="22"/>
        </w:rPr>
      </w:pPr>
    </w:p>
    <w:p w:rsidR="001C4DD7" w:rsidRDefault="001C4DD7" w:rsidP="001C4DD7">
      <w:pPr>
        <w:rPr>
          <w:rFonts w:eastAsiaTheme="minorEastAsia" w:cs="Arial"/>
          <w:color w:val="000000" w:themeColor="text1"/>
          <w:szCs w:val="22"/>
        </w:rPr>
      </w:pPr>
      <w:r>
        <w:rPr>
          <w:rFonts w:eastAsiaTheme="minorEastAsia" w:cs="Arial"/>
          <w:color w:val="000000" w:themeColor="text1"/>
          <w:szCs w:val="22"/>
        </w:rPr>
        <w:t>Een complicatie kan hier natuurlijk zijn dat niet altijd onmiddellijk vaststaat of er iemand – en zo ja, wie – aansprakelijk is. In de – vele – gevallen waarin dat wel het geval is, kan de aansprakelijke (en vooral diens professionele verzekeraar) zich niettemin rekenschap geven van deze verplichting.</w:t>
      </w:r>
    </w:p>
    <w:p w:rsidR="00A8697A" w:rsidRDefault="00A8697A" w:rsidP="00847AB4">
      <w:pPr>
        <w:rPr>
          <w:rFonts w:eastAsiaTheme="minorEastAsia" w:cs="Arial"/>
          <w:color w:val="000000" w:themeColor="text1"/>
          <w:szCs w:val="22"/>
        </w:rPr>
      </w:pPr>
    </w:p>
    <w:p w:rsidR="00CD0FCF" w:rsidRDefault="00CD0FCF" w:rsidP="00847AB4">
      <w:pPr>
        <w:rPr>
          <w:rFonts w:eastAsiaTheme="minorEastAsia" w:cs="Arial"/>
          <w:color w:val="000000" w:themeColor="text1"/>
          <w:szCs w:val="22"/>
        </w:rPr>
      </w:pPr>
    </w:p>
    <w:p w:rsidR="00847DF6" w:rsidRPr="00847DF6" w:rsidRDefault="003A47F0" w:rsidP="00847DF6">
      <w:pPr>
        <w:pStyle w:val="ListParagraph"/>
        <w:numPr>
          <w:ilvl w:val="0"/>
          <w:numId w:val="2"/>
        </w:numPr>
        <w:rPr>
          <w:rFonts w:eastAsiaTheme="minorEastAsia" w:cs="Arial"/>
          <w:color w:val="000000" w:themeColor="text1"/>
          <w:szCs w:val="22"/>
        </w:rPr>
      </w:pPr>
      <w:r>
        <w:rPr>
          <w:rFonts w:eastAsiaTheme="minorEastAsia" w:cs="Arial"/>
          <w:color w:val="000000" w:themeColor="text1"/>
          <w:szCs w:val="22"/>
        </w:rPr>
        <w:t>Om te voorzien in ee</w:t>
      </w:r>
      <w:r w:rsidR="00847DF6">
        <w:rPr>
          <w:rFonts w:eastAsiaTheme="minorEastAsia" w:cs="Arial"/>
          <w:color w:val="000000" w:themeColor="text1"/>
          <w:szCs w:val="22"/>
        </w:rPr>
        <w:t>n behoefte van de gekwetste</w:t>
      </w:r>
    </w:p>
    <w:p w:rsidR="00847AB4" w:rsidRDefault="00847AB4" w:rsidP="004F0DED">
      <w:pPr>
        <w:rPr>
          <w:rFonts w:eastAsiaTheme="minorEastAsia" w:cs="Arial"/>
          <w:color w:val="000000" w:themeColor="text1"/>
          <w:szCs w:val="22"/>
        </w:rPr>
      </w:pPr>
    </w:p>
    <w:p w:rsidR="00847DF6" w:rsidRDefault="00847DF6" w:rsidP="004F0DED">
      <w:pPr>
        <w:rPr>
          <w:rFonts w:eastAsiaTheme="minorEastAsia" w:cs="Arial"/>
          <w:color w:val="000000" w:themeColor="text1"/>
          <w:szCs w:val="22"/>
        </w:rPr>
      </w:pPr>
      <w:r>
        <w:rPr>
          <w:rFonts w:eastAsiaTheme="minorEastAsia" w:cs="Arial"/>
          <w:color w:val="000000" w:themeColor="text1"/>
          <w:szCs w:val="22"/>
        </w:rPr>
        <w:t>Op het ongeval van Hanneke Kruidhof was het oude recht van toepassing, dat in art. 1407 BW slechts een aanspraak van de gekwetste zelf erkende. De tijd die haar ouders hadden besteed aan haar verpleging</w:t>
      </w:r>
      <w:r w:rsidR="007468F9">
        <w:rPr>
          <w:rFonts w:eastAsiaTheme="minorEastAsia" w:cs="Arial"/>
          <w:color w:val="000000" w:themeColor="text1"/>
          <w:szCs w:val="22"/>
        </w:rPr>
        <w:t>,</w:t>
      </w:r>
      <w:r>
        <w:rPr>
          <w:rFonts w:eastAsiaTheme="minorEastAsia" w:cs="Arial"/>
          <w:color w:val="000000" w:themeColor="text1"/>
          <w:szCs w:val="22"/>
        </w:rPr>
        <w:t xml:space="preserve"> verzorging</w:t>
      </w:r>
      <w:r w:rsidR="007468F9">
        <w:rPr>
          <w:rFonts w:eastAsiaTheme="minorEastAsia" w:cs="Arial"/>
          <w:color w:val="000000" w:themeColor="text1"/>
          <w:szCs w:val="22"/>
        </w:rPr>
        <w:t xml:space="preserve"> en bezoek</w:t>
      </w:r>
      <w:r>
        <w:rPr>
          <w:rFonts w:eastAsiaTheme="minorEastAsia" w:cs="Arial"/>
          <w:color w:val="000000" w:themeColor="text1"/>
          <w:szCs w:val="22"/>
        </w:rPr>
        <w:t xml:space="preserve"> moest dus wel als haar schade worden opgevoerd. Hoewel thans art. 6:107 BW derden onder omstandigheden een eigen aanspraak op vergoeding van verplaatste schade toek</w:t>
      </w:r>
      <w:r w:rsidR="00CD0FCF">
        <w:rPr>
          <w:rFonts w:eastAsiaTheme="minorEastAsia" w:cs="Arial"/>
          <w:color w:val="000000" w:themeColor="text1"/>
          <w:szCs w:val="22"/>
        </w:rPr>
        <w:t>en</w:t>
      </w:r>
      <w:r>
        <w:rPr>
          <w:rFonts w:eastAsiaTheme="minorEastAsia" w:cs="Arial"/>
          <w:color w:val="000000" w:themeColor="text1"/>
          <w:szCs w:val="22"/>
        </w:rPr>
        <w:t>t, vormt ook naar huidig recht de behoefte aan verpleging en verzorging een schadepost van de gekwetste zelf.</w:t>
      </w:r>
      <w:r>
        <w:rPr>
          <w:rStyle w:val="FootnoteReference"/>
          <w:rFonts w:eastAsiaTheme="minorEastAsia" w:cs="Arial"/>
          <w:color w:val="000000" w:themeColor="text1"/>
          <w:szCs w:val="22"/>
        </w:rPr>
        <w:footnoteReference w:id="13"/>
      </w:r>
      <w:r>
        <w:rPr>
          <w:rFonts w:eastAsiaTheme="minorEastAsia" w:cs="Arial"/>
          <w:color w:val="000000" w:themeColor="text1"/>
          <w:szCs w:val="22"/>
        </w:rPr>
        <w:t xml:space="preserve"> Wanneer derden voorzien in deze behoefte, nemen zij dus schade van de gekwetste weg. Voor zover het gaat om verrichtingen of kosten uit het verleden biedt art. 6:107 BW hun een eigen aanspraak, voor zover het gaat om de toekomst blijft de behoefte, en dus de schade, bij de gekwetste liggen. Op dit punt verander</w:t>
      </w:r>
      <w:r w:rsidR="007468F9">
        <w:rPr>
          <w:rFonts w:eastAsiaTheme="minorEastAsia" w:cs="Arial"/>
          <w:color w:val="000000" w:themeColor="text1"/>
          <w:szCs w:val="22"/>
        </w:rPr>
        <w:t>de</w:t>
      </w:r>
      <w:r>
        <w:rPr>
          <w:rFonts w:eastAsiaTheme="minorEastAsia" w:cs="Arial"/>
          <w:color w:val="000000" w:themeColor="text1"/>
          <w:szCs w:val="22"/>
        </w:rPr>
        <w:t xml:space="preserve"> </w:t>
      </w:r>
      <w:r w:rsidR="00CD0FCF">
        <w:rPr>
          <w:rFonts w:eastAsiaTheme="minorEastAsia" w:cs="Arial"/>
          <w:color w:val="000000" w:themeColor="text1"/>
          <w:szCs w:val="22"/>
        </w:rPr>
        <w:t xml:space="preserve">de invoering van </w:t>
      </w:r>
      <w:r>
        <w:rPr>
          <w:rFonts w:eastAsiaTheme="minorEastAsia" w:cs="Arial"/>
          <w:color w:val="000000" w:themeColor="text1"/>
          <w:szCs w:val="22"/>
        </w:rPr>
        <w:t>het huidige recht niets</w:t>
      </w:r>
      <w:r w:rsidR="00CD0FCF">
        <w:rPr>
          <w:rFonts w:eastAsiaTheme="minorEastAsia" w:cs="Arial"/>
          <w:color w:val="000000" w:themeColor="text1"/>
          <w:szCs w:val="22"/>
        </w:rPr>
        <w:t>; het</w:t>
      </w:r>
      <w:r w:rsidR="007468F9">
        <w:rPr>
          <w:rFonts w:eastAsiaTheme="minorEastAsia" w:cs="Arial"/>
          <w:color w:val="000000" w:themeColor="text1"/>
          <w:szCs w:val="22"/>
        </w:rPr>
        <w:t xml:space="preserve"> consultatievoorstel</w:t>
      </w:r>
      <w:r w:rsidR="00CD0FCF">
        <w:rPr>
          <w:rFonts w:eastAsiaTheme="minorEastAsia" w:cs="Arial"/>
          <w:color w:val="000000" w:themeColor="text1"/>
          <w:szCs w:val="22"/>
        </w:rPr>
        <w:t xml:space="preserve"> beoogt dat overigens</w:t>
      </w:r>
      <w:r w:rsidR="007468F9">
        <w:rPr>
          <w:rFonts w:eastAsiaTheme="minorEastAsia" w:cs="Arial"/>
          <w:color w:val="000000" w:themeColor="text1"/>
          <w:szCs w:val="22"/>
        </w:rPr>
        <w:t xml:space="preserve"> evenmin.</w:t>
      </w:r>
      <w:r w:rsidR="00030F63">
        <w:rPr>
          <w:rStyle w:val="FootnoteReference"/>
          <w:rFonts w:eastAsiaTheme="minorEastAsia" w:cs="Arial"/>
          <w:color w:val="000000" w:themeColor="text1"/>
          <w:szCs w:val="22"/>
        </w:rPr>
        <w:footnoteReference w:id="14"/>
      </w:r>
    </w:p>
    <w:p w:rsidR="00847DF6" w:rsidRDefault="00847DF6" w:rsidP="004F0DED">
      <w:pPr>
        <w:rPr>
          <w:rFonts w:eastAsiaTheme="minorEastAsia" w:cs="Arial"/>
          <w:color w:val="000000" w:themeColor="text1"/>
          <w:szCs w:val="22"/>
        </w:rPr>
      </w:pPr>
    </w:p>
    <w:p w:rsidR="00847DF6" w:rsidRDefault="00847DF6" w:rsidP="004F0DED">
      <w:pPr>
        <w:rPr>
          <w:rFonts w:eastAsiaTheme="minorEastAsia" w:cs="Arial"/>
          <w:color w:val="000000" w:themeColor="text1"/>
          <w:szCs w:val="22"/>
        </w:rPr>
      </w:pPr>
    </w:p>
    <w:p w:rsidR="00847DF6" w:rsidRDefault="00847DF6" w:rsidP="00847DF6">
      <w:pPr>
        <w:pStyle w:val="ListParagraph"/>
        <w:numPr>
          <w:ilvl w:val="0"/>
          <w:numId w:val="2"/>
        </w:numPr>
        <w:rPr>
          <w:rFonts w:eastAsiaTheme="minorEastAsia" w:cs="Arial"/>
          <w:color w:val="000000" w:themeColor="text1"/>
          <w:szCs w:val="22"/>
        </w:rPr>
      </w:pPr>
      <w:r>
        <w:rPr>
          <w:rFonts w:eastAsiaTheme="minorEastAsia" w:cs="Arial"/>
          <w:color w:val="000000" w:themeColor="text1"/>
          <w:szCs w:val="22"/>
        </w:rPr>
        <w:t>Enkele observaties over het consultatievoorstel</w:t>
      </w:r>
      <w:r w:rsidR="00CD0FCF">
        <w:rPr>
          <w:rFonts w:eastAsiaTheme="minorEastAsia" w:cs="Arial"/>
          <w:color w:val="000000" w:themeColor="text1"/>
          <w:szCs w:val="22"/>
        </w:rPr>
        <w:t xml:space="preserve"> in het licht van het huidige recht</w:t>
      </w:r>
    </w:p>
    <w:p w:rsidR="007468F9" w:rsidRDefault="007468F9" w:rsidP="00847DF6">
      <w:pPr>
        <w:rPr>
          <w:rFonts w:eastAsiaTheme="minorEastAsia" w:cs="Arial"/>
          <w:color w:val="000000" w:themeColor="text1"/>
          <w:szCs w:val="22"/>
        </w:rPr>
      </w:pPr>
    </w:p>
    <w:p w:rsidR="00A24B93" w:rsidRDefault="00A927EE" w:rsidP="00847DF6">
      <w:pPr>
        <w:rPr>
          <w:rFonts w:eastAsiaTheme="minorEastAsia" w:cs="Arial"/>
          <w:color w:val="000000" w:themeColor="text1"/>
          <w:szCs w:val="22"/>
        </w:rPr>
      </w:pPr>
      <w:r>
        <w:rPr>
          <w:rFonts w:eastAsiaTheme="minorEastAsia" w:cs="Arial"/>
          <w:color w:val="000000" w:themeColor="text1"/>
          <w:szCs w:val="22"/>
        </w:rPr>
        <w:t xml:space="preserve">In mijn observaties over het consultatievoorstel </w:t>
      </w:r>
      <w:r w:rsidR="00A24B93">
        <w:rPr>
          <w:rFonts w:eastAsiaTheme="minorEastAsia" w:cs="Arial"/>
          <w:color w:val="000000" w:themeColor="text1"/>
          <w:szCs w:val="22"/>
        </w:rPr>
        <w:t>richt</w:t>
      </w:r>
      <w:r>
        <w:rPr>
          <w:rFonts w:eastAsiaTheme="minorEastAsia" w:cs="Arial"/>
          <w:color w:val="000000" w:themeColor="text1"/>
          <w:szCs w:val="22"/>
        </w:rPr>
        <w:t xml:space="preserve"> ik mij </w:t>
      </w:r>
      <w:r w:rsidR="00CD0FCF">
        <w:rPr>
          <w:rFonts w:eastAsiaTheme="minorEastAsia" w:cs="Arial"/>
          <w:color w:val="000000" w:themeColor="text1"/>
          <w:szCs w:val="22"/>
        </w:rPr>
        <w:t xml:space="preserve">vooral </w:t>
      </w:r>
      <w:r w:rsidR="00A24B93">
        <w:rPr>
          <w:rFonts w:eastAsiaTheme="minorEastAsia" w:cs="Arial"/>
          <w:color w:val="000000" w:themeColor="text1"/>
          <w:szCs w:val="22"/>
        </w:rPr>
        <w:t>op</w:t>
      </w:r>
      <w:r>
        <w:rPr>
          <w:rFonts w:eastAsiaTheme="minorEastAsia" w:cs="Arial"/>
          <w:color w:val="000000" w:themeColor="text1"/>
          <w:szCs w:val="22"/>
        </w:rPr>
        <w:t xml:space="preserve"> de problematiek van de zorgschade</w:t>
      </w:r>
      <w:r w:rsidR="00CD0FCF">
        <w:rPr>
          <w:rFonts w:eastAsiaTheme="minorEastAsia" w:cs="Arial"/>
          <w:color w:val="000000" w:themeColor="text1"/>
          <w:szCs w:val="22"/>
        </w:rPr>
        <w:t>. Niettemin zal</w:t>
      </w:r>
      <w:r w:rsidR="00A24B93">
        <w:rPr>
          <w:rFonts w:eastAsiaTheme="minorEastAsia" w:cs="Arial"/>
          <w:color w:val="000000" w:themeColor="text1"/>
          <w:szCs w:val="22"/>
        </w:rPr>
        <w:t xml:space="preserve"> ik daarna nog een enkele opmerking maken over het aspect van de zogenaamde ‘affectieschade’</w:t>
      </w:r>
      <w:r>
        <w:rPr>
          <w:rFonts w:eastAsiaTheme="minorEastAsia" w:cs="Arial"/>
          <w:color w:val="000000" w:themeColor="text1"/>
          <w:szCs w:val="22"/>
        </w:rPr>
        <w:t>.</w:t>
      </w:r>
    </w:p>
    <w:p w:rsidR="00A24B93" w:rsidRDefault="00A24B93" w:rsidP="00847DF6">
      <w:pPr>
        <w:rPr>
          <w:rFonts w:eastAsiaTheme="minorEastAsia" w:cs="Arial"/>
          <w:color w:val="000000" w:themeColor="text1"/>
          <w:szCs w:val="22"/>
        </w:rPr>
      </w:pPr>
    </w:p>
    <w:p w:rsidR="00CD0FCF" w:rsidRPr="00CD0FCF" w:rsidRDefault="00CD0FCF" w:rsidP="00CD0FCF">
      <w:pPr>
        <w:pStyle w:val="ListParagraph"/>
        <w:numPr>
          <w:ilvl w:val="0"/>
          <w:numId w:val="4"/>
        </w:numPr>
        <w:rPr>
          <w:rFonts w:eastAsiaTheme="minorEastAsia" w:cs="Arial"/>
          <w:color w:val="000000" w:themeColor="text1"/>
          <w:szCs w:val="22"/>
        </w:rPr>
      </w:pPr>
      <w:r>
        <w:rPr>
          <w:rFonts w:eastAsiaTheme="minorEastAsia" w:cs="Arial"/>
          <w:color w:val="000000" w:themeColor="text1"/>
          <w:szCs w:val="22"/>
        </w:rPr>
        <w:lastRenderedPageBreak/>
        <w:t>Zorgschade</w:t>
      </w:r>
    </w:p>
    <w:p w:rsidR="00CD0FCF" w:rsidRDefault="00CD0FCF" w:rsidP="00847DF6">
      <w:pPr>
        <w:rPr>
          <w:rFonts w:eastAsiaTheme="minorEastAsia" w:cs="Arial"/>
          <w:color w:val="000000" w:themeColor="text1"/>
          <w:szCs w:val="22"/>
        </w:rPr>
      </w:pPr>
    </w:p>
    <w:p w:rsidR="00192508" w:rsidRDefault="00A927EE" w:rsidP="00847DF6">
      <w:pPr>
        <w:rPr>
          <w:rFonts w:eastAsiaTheme="minorEastAsia" w:cs="Arial"/>
          <w:color w:val="000000" w:themeColor="text1"/>
          <w:szCs w:val="22"/>
        </w:rPr>
      </w:pPr>
      <w:r>
        <w:rPr>
          <w:rFonts w:eastAsiaTheme="minorEastAsia" w:cs="Arial"/>
          <w:color w:val="000000" w:themeColor="text1"/>
          <w:szCs w:val="22"/>
        </w:rPr>
        <w:t xml:space="preserve">Het voorstel </w:t>
      </w:r>
      <w:r w:rsidR="00192508">
        <w:rPr>
          <w:rFonts w:eastAsiaTheme="minorEastAsia" w:cs="Arial"/>
          <w:color w:val="000000" w:themeColor="text1"/>
          <w:szCs w:val="22"/>
        </w:rPr>
        <w:t>stelt</w:t>
      </w:r>
      <w:r w:rsidR="00A24B93">
        <w:rPr>
          <w:rFonts w:eastAsiaTheme="minorEastAsia" w:cs="Arial"/>
          <w:color w:val="000000" w:themeColor="text1"/>
          <w:szCs w:val="22"/>
        </w:rPr>
        <w:t>,</w:t>
      </w:r>
      <w:r>
        <w:rPr>
          <w:rFonts w:eastAsiaTheme="minorEastAsia" w:cs="Arial"/>
          <w:color w:val="000000" w:themeColor="text1"/>
          <w:szCs w:val="22"/>
        </w:rPr>
        <w:t xml:space="preserve"> mijns inziens terecht</w:t>
      </w:r>
      <w:r w:rsidR="00A24B93">
        <w:rPr>
          <w:rFonts w:eastAsiaTheme="minorEastAsia" w:cs="Arial"/>
          <w:color w:val="000000" w:themeColor="text1"/>
          <w:szCs w:val="22"/>
        </w:rPr>
        <w:t>,</w:t>
      </w:r>
      <w:r w:rsidR="00192508">
        <w:rPr>
          <w:rFonts w:eastAsiaTheme="minorEastAsia" w:cs="Arial"/>
          <w:color w:val="000000" w:themeColor="text1"/>
          <w:szCs w:val="22"/>
        </w:rPr>
        <w:t xml:space="preserve"> voorop</w:t>
      </w:r>
      <w:r>
        <w:rPr>
          <w:rFonts w:eastAsiaTheme="minorEastAsia" w:cs="Arial"/>
          <w:color w:val="000000" w:themeColor="text1"/>
          <w:szCs w:val="22"/>
        </w:rPr>
        <w:t xml:space="preserve"> dat schade</w:t>
      </w:r>
      <w:r w:rsidR="00A24B93">
        <w:rPr>
          <w:rFonts w:eastAsiaTheme="minorEastAsia" w:cs="Arial"/>
          <w:color w:val="000000" w:themeColor="text1"/>
          <w:szCs w:val="22"/>
        </w:rPr>
        <w:t xml:space="preserve"> in de vorm van kosten van benodigde zorg</w:t>
      </w:r>
      <w:r>
        <w:rPr>
          <w:rFonts w:eastAsiaTheme="minorEastAsia" w:cs="Arial"/>
          <w:color w:val="000000" w:themeColor="text1"/>
          <w:szCs w:val="22"/>
        </w:rPr>
        <w:t xml:space="preserve"> primair door de gekwetste wordt geleden. </w:t>
      </w:r>
      <w:r w:rsidR="00192508">
        <w:rPr>
          <w:rFonts w:eastAsiaTheme="minorEastAsia" w:cs="Arial"/>
          <w:color w:val="000000" w:themeColor="text1"/>
          <w:szCs w:val="22"/>
        </w:rPr>
        <w:t>Dat</w:t>
      </w:r>
      <w:r>
        <w:rPr>
          <w:rFonts w:eastAsiaTheme="minorEastAsia" w:cs="Arial"/>
          <w:color w:val="000000" w:themeColor="text1"/>
          <w:szCs w:val="22"/>
        </w:rPr>
        <w:t xml:space="preserve"> uitgangspunt </w:t>
      </w:r>
      <w:r w:rsidR="00192508">
        <w:rPr>
          <w:rFonts w:eastAsiaTheme="minorEastAsia" w:cs="Arial"/>
          <w:color w:val="000000" w:themeColor="text1"/>
          <w:szCs w:val="22"/>
        </w:rPr>
        <w:t xml:space="preserve">impliceert </w:t>
      </w:r>
      <w:r>
        <w:rPr>
          <w:rFonts w:eastAsiaTheme="minorEastAsia" w:cs="Arial"/>
          <w:color w:val="000000" w:themeColor="text1"/>
          <w:szCs w:val="22"/>
        </w:rPr>
        <w:t>dat</w:t>
      </w:r>
      <w:r w:rsidR="00A24B93">
        <w:rPr>
          <w:rFonts w:eastAsiaTheme="minorEastAsia" w:cs="Arial"/>
          <w:color w:val="000000" w:themeColor="text1"/>
          <w:szCs w:val="22"/>
        </w:rPr>
        <w:t xml:space="preserve"> deze kosten</w:t>
      </w:r>
      <w:r>
        <w:rPr>
          <w:rFonts w:eastAsiaTheme="minorEastAsia" w:cs="Arial"/>
          <w:color w:val="000000" w:themeColor="text1"/>
          <w:szCs w:val="22"/>
        </w:rPr>
        <w:t xml:space="preserve"> voor zover </w:t>
      </w:r>
      <w:r w:rsidR="00A24B93">
        <w:rPr>
          <w:rFonts w:eastAsiaTheme="minorEastAsia" w:cs="Arial"/>
          <w:color w:val="000000" w:themeColor="text1"/>
          <w:szCs w:val="22"/>
        </w:rPr>
        <w:t xml:space="preserve">zij </w:t>
      </w:r>
      <w:r>
        <w:rPr>
          <w:rFonts w:eastAsiaTheme="minorEastAsia" w:cs="Arial"/>
          <w:color w:val="000000" w:themeColor="text1"/>
          <w:szCs w:val="22"/>
        </w:rPr>
        <w:t>ten laste van derden zijn gekomen</w:t>
      </w:r>
      <w:r w:rsidR="00A24B93">
        <w:rPr>
          <w:rFonts w:eastAsiaTheme="minorEastAsia" w:cs="Arial"/>
          <w:color w:val="000000" w:themeColor="text1"/>
          <w:szCs w:val="22"/>
        </w:rPr>
        <w:t>,</w:t>
      </w:r>
      <w:r>
        <w:rPr>
          <w:rFonts w:eastAsiaTheme="minorEastAsia" w:cs="Arial"/>
          <w:color w:val="000000" w:themeColor="text1"/>
          <w:szCs w:val="22"/>
        </w:rPr>
        <w:t xml:space="preserve"> door deze derden zelfstandig kunnen worden verhaald op grond van art. 6:107 BW. Dat past naadloos in de </w:t>
      </w:r>
      <w:r w:rsidR="00192508">
        <w:rPr>
          <w:rFonts w:eastAsiaTheme="minorEastAsia" w:cs="Arial"/>
          <w:color w:val="000000" w:themeColor="text1"/>
          <w:szCs w:val="22"/>
        </w:rPr>
        <w:t xml:space="preserve">bestaande </w:t>
      </w:r>
      <w:r>
        <w:rPr>
          <w:rFonts w:eastAsiaTheme="minorEastAsia" w:cs="Arial"/>
          <w:color w:val="000000" w:themeColor="text1"/>
          <w:szCs w:val="22"/>
        </w:rPr>
        <w:t>wetssystematiek.</w:t>
      </w:r>
      <w:r w:rsidR="00B51A47">
        <w:rPr>
          <w:rFonts w:eastAsiaTheme="minorEastAsia" w:cs="Arial"/>
          <w:color w:val="000000" w:themeColor="text1"/>
          <w:szCs w:val="22"/>
        </w:rPr>
        <w:t xml:space="preserve"> Het </w:t>
      </w:r>
      <w:r w:rsidR="00E0692F">
        <w:rPr>
          <w:rFonts w:eastAsiaTheme="minorEastAsia" w:cs="Arial"/>
          <w:color w:val="000000" w:themeColor="text1"/>
          <w:szCs w:val="22"/>
        </w:rPr>
        <w:t xml:space="preserve">is </w:t>
      </w:r>
      <w:r w:rsidR="00B51A47">
        <w:rPr>
          <w:rFonts w:eastAsiaTheme="minorEastAsia" w:cs="Arial"/>
          <w:color w:val="000000" w:themeColor="text1"/>
          <w:szCs w:val="22"/>
        </w:rPr>
        <w:t>ook nodig om de belangen van de gekwetste op dit punt te laten prevaleren boven die van naasten: het gaat immers om zijn zorgbehoefte</w:t>
      </w:r>
      <w:r w:rsidR="00A32C2F">
        <w:rPr>
          <w:rFonts w:eastAsiaTheme="minorEastAsia" w:cs="Arial"/>
          <w:color w:val="000000" w:themeColor="text1"/>
          <w:szCs w:val="22"/>
        </w:rPr>
        <w:t xml:space="preserve"> en cruciaal is dat hij in de vervulling daarvan zelf de regie houdt</w:t>
      </w:r>
      <w:r w:rsidR="00B51A47">
        <w:rPr>
          <w:rFonts w:eastAsiaTheme="minorEastAsia" w:cs="Arial"/>
          <w:color w:val="000000" w:themeColor="text1"/>
          <w:szCs w:val="22"/>
        </w:rPr>
        <w:t>.</w:t>
      </w:r>
      <w:r w:rsidR="00B51A47">
        <w:rPr>
          <w:rStyle w:val="FootnoteReference"/>
          <w:rFonts w:eastAsiaTheme="minorEastAsia" w:cs="Arial"/>
          <w:color w:val="000000" w:themeColor="text1"/>
          <w:szCs w:val="22"/>
        </w:rPr>
        <w:footnoteReference w:id="15"/>
      </w:r>
    </w:p>
    <w:p w:rsidR="00192508" w:rsidRDefault="00192508" w:rsidP="00847DF6">
      <w:pPr>
        <w:rPr>
          <w:rFonts w:eastAsiaTheme="minorEastAsia" w:cs="Arial"/>
          <w:color w:val="000000" w:themeColor="text1"/>
          <w:szCs w:val="22"/>
        </w:rPr>
      </w:pPr>
    </w:p>
    <w:p w:rsidR="00192508" w:rsidRDefault="00CD0FCF" w:rsidP="00847DF6">
      <w:pPr>
        <w:rPr>
          <w:rFonts w:eastAsiaTheme="minorEastAsia" w:cs="Arial"/>
          <w:color w:val="000000" w:themeColor="text1"/>
          <w:szCs w:val="22"/>
        </w:rPr>
      </w:pPr>
      <w:r>
        <w:rPr>
          <w:rFonts w:eastAsiaTheme="minorEastAsia" w:cs="Arial"/>
          <w:color w:val="000000" w:themeColor="text1"/>
          <w:szCs w:val="22"/>
        </w:rPr>
        <w:t xml:space="preserve">Nieuw aan het voorstel is dat </w:t>
      </w:r>
      <w:r w:rsidR="00192508">
        <w:rPr>
          <w:rFonts w:eastAsiaTheme="minorEastAsia" w:cs="Arial"/>
          <w:color w:val="000000" w:themeColor="text1"/>
          <w:szCs w:val="22"/>
        </w:rPr>
        <w:t xml:space="preserve">voor vergoedbaarheid niet langer beslissend is of het normaal en gebruikelijk was om professionele zorg te betrekken, maar of de zorgbehoefte </w:t>
      </w:r>
      <w:r w:rsidR="00192508" w:rsidRPr="00192508">
        <w:rPr>
          <w:rFonts w:eastAsiaTheme="minorEastAsia" w:cs="Arial"/>
          <w:i/>
          <w:color w:val="000000" w:themeColor="text1"/>
          <w:szCs w:val="22"/>
        </w:rPr>
        <w:t>redelijk</w:t>
      </w:r>
      <w:r w:rsidR="00192508">
        <w:rPr>
          <w:rFonts w:eastAsiaTheme="minorEastAsia" w:cs="Arial"/>
          <w:color w:val="000000" w:themeColor="text1"/>
          <w:szCs w:val="22"/>
        </w:rPr>
        <w:t xml:space="preserve"> is, dat een aanspraak op vergoeding ook wordt erkend voor </w:t>
      </w:r>
      <w:r w:rsidR="00192508" w:rsidRPr="00192508">
        <w:rPr>
          <w:rFonts w:eastAsiaTheme="minorEastAsia" w:cs="Arial"/>
          <w:i/>
          <w:color w:val="000000" w:themeColor="text1"/>
          <w:szCs w:val="22"/>
        </w:rPr>
        <w:t>begeleiding</w:t>
      </w:r>
      <w:r w:rsidR="00192508">
        <w:rPr>
          <w:rFonts w:eastAsiaTheme="minorEastAsia" w:cs="Arial"/>
          <w:color w:val="000000" w:themeColor="text1"/>
          <w:szCs w:val="22"/>
        </w:rPr>
        <w:t xml:space="preserve">, en dat de aanspraak op vergoeding </w:t>
      </w:r>
      <w:r w:rsidR="00192508" w:rsidRPr="00192508">
        <w:rPr>
          <w:rFonts w:eastAsiaTheme="minorEastAsia" w:cs="Arial"/>
          <w:i/>
          <w:color w:val="000000" w:themeColor="text1"/>
          <w:szCs w:val="22"/>
        </w:rPr>
        <w:t>niet is gemaximeerd</w:t>
      </w:r>
      <w:r w:rsidR="00192508">
        <w:rPr>
          <w:rFonts w:eastAsiaTheme="minorEastAsia" w:cs="Arial"/>
          <w:color w:val="000000" w:themeColor="text1"/>
          <w:szCs w:val="22"/>
        </w:rPr>
        <w:t xml:space="preserve"> op de kosten van een professionele hulpverlener.</w:t>
      </w:r>
    </w:p>
    <w:p w:rsidR="00192508" w:rsidRDefault="00192508" w:rsidP="00847DF6">
      <w:pPr>
        <w:rPr>
          <w:rFonts w:eastAsiaTheme="minorEastAsia" w:cs="Arial"/>
          <w:color w:val="000000" w:themeColor="text1"/>
          <w:szCs w:val="22"/>
        </w:rPr>
      </w:pPr>
    </w:p>
    <w:p w:rsidR="00A24B93" w:rsidRDefault="00192508" w:rsidP="00847DF6">
      <w:pPr>
        <w:rPr>
          <w:rFonts w:eastAsiaTheme="minorEastAsia" w:cs="Arial"/>
          <w:color w:val="000000" w:themeColor="text1"/>
          <w:szCs w:val="22"/>
        </w:rPr>
      </w:pPr>
      <w:r>
        <w:rPr>
          <w:rFonts w:eastAsiaTheme="minorEastAsia" w:cs="Arial"/>
          <w:color w:val="000000" w:themeColor="text1"/>
          <w:szCs w:val="22"/>
        </w:rPr>
        <w:t>Het eerste – dat redelijkheid beslissend is voor de vraag of een aanspraak bestaat op vergoeding voor verleende hulp – was uitvoerig in de literatuur bepleit.</w:t>
      </w:r>
      <w:r>
        <w:rPr>
          <w:rStyle w:val="FootnoteReference"/>
          <w:rFonts w:eastAsiaTheme="minorEastAsia" w:cs="Arial"/>
          <w:color w:val="000000" w:themeColor="text1"/>
          <w:szCs w:val="22"/>
        </w:rPr>
        <w:footnoteReference w:id="16"/>
      </w:r>
      <w:r w:rsidR="005D5D88">
        <w:rPr>
          <w:rFonts w:eastAsiaTheme="minorEastAsia" w:cs="Arial"/>
          <w:color w:val="000000" w:themeColor="text1"/>
          <w:szCs w:val="22"/>
        </w:rPr>
        <w:t xml:space="preserve"> Dat heeft niet alleen het voordeel dat het lastig toepasbare criterium ‘normaal en gebruikelijk’ niet langer hoeft te worden beproefd.</w:t>
      </w:r>
      <w:r>
        <w:rPr>
          <w:rFonts w:eastAsiaTheme="minorEastAsia" w:cs="Arial"/>
          <w:color w:val="000000" w:themeColor="text1"/>
          <w:szCs w:val="22"/>
        </w:rPr>
        <w:t xml:space="preserve"> </w:t>
      </w:r>
      <w:r w:rsidR="005D5D88">
        <w:rPr>
          <w:rFonts w:eastAsiaTheme="minorEastAsia" w:cs="Arial"/>
          <w:color w:val="000000" w:themeColor="text1"/>
          <w:szCs w:val="22"/>
        </w:rPr>
        <w:t xml:space="preserve">Het </w:t>
      </w:r>
      <w:r>
        <w:rPr>
          <w:rFonts w:eastAsiaTheme="minorEastAsia" w:cs="Arial"/>
          <w:color w:val="000000" w:themeColor="text1"/>
          <w:szCs w:val="22"/>
        </w:rPr>
        <w:t>sluit</w:t>
      </w:r>
      <w:r w:rsidR="005D5D88">
        <w:rPr>
          <w:rFonts w:eastAsiaTheme="minorEastAsia" w:cs="Arial"/>
          <w:color w:val="000000" w:themeColor="text1"/>
          <w:szCs w:val="22"/>
        </w:rPr>
        <w:t xml:space="preserve"> ook</w:t>
      </w:r>
      <w:r>
        <w:rPr>
          <w:rFonts w:eastAsiaTheme="minorEastAsia" w:cs="Arial"/>
          <w:color w:val="000000" w:themeColor="text1"/>
          <w:szCs w:val="22"/>
        </w:rPr>
        <w:t xml:space="preserve"> aan bij het stelsel van de wet, waarin voor de vraag of een benadeelde aanspraak heeft op vergoeding van schade in de vorm van kosten van beperking van schade, v</w:t>
      </w:r>
      <w:r w:rsidR="005D5D88">
        <w:rPr>
          <w:rFonts w:eastAsiaTheme="minorEastAsia" w:cs="Arial"/>
          <w:color w:val="000000" w:themeColor="text1"/>
          <w:szCs w:val="22"/>
        </w:rPr>
        <w:t>an</w:t>
      </w:r>
      <w:r>
        <w:rPr>
          <w:rFonts w:eastAsiaTheme="minorEastAsia" w:cs="Arial"/>
          <w:color w:val="000000" w:themeColor="text1"/>
          <w:szCs w:val="22"/>
        </w:rPr>
        <w:t xml:space="preserve"> kosten van herstel en v</w:t>
      </w:r>
      <w:r w:rsidR="005D5D88">
        <w:rPr>
          <w:rFonts w:eastAsiaTheme="minorEastAsia" w:cs="Arial"/>
          <w:color w:val="000000" w:themeColor="text1"/>
          <w:szCs w:val="22"/>
        </w:rPr>
        <w:t>an</w:t>
      </w:r>
      <w:r>
        <w:rPr>
          <w:rFonts w:eastAsiaTheme="minorEastAsia" w:cs="Arial"/>
          <w:color w:val="000000" w:themeColor="text1"/>
          <w:szCs w:val="22"/>
        </w:rPr>
        <w:t xml:space="preserve"> andere door professionals in verband met (het verhalen van) de schade gemaakt</w:t>
      </w:r>
      <w:r w:rsidR="00885AA2">
        <w:rPr>
          <w:rFonts w:eastAsiaTheme="minorEastAsia" w:cs="Arial"/>
          <w:color w:val="000000" w:themeColor="text1"/>
          <w:szCs w:val="22"/>
        </w:rPr>
        <w:t>e kosten</w:t>
      </w:r>
      <w:r>
        <w:rPr>
          <w:rFonts w:eastAsiaTheme="minorEastAsia" w:cs="Arial"/>
          <w:color w:val="000000" w:themeColor="text1"/>
          <w:szCs w:val="22"/>
        </w:rPr>
        <w:t>, telkens beslissend is of de genomen maatregel redelijk is en of de omvang van de kosten daarvan redelijk is (‘dubbele redelijkheidtoets’).</w:t>
      </w:r>
      <w:r w:rsidR="005D5D88">
        <w:rPr>
          <w:rStyle w:val="FootnoteReference"/>
          <w:rFonts w:eastAsiaTheme="minorEastAsia" w:cs="Arial"/>
          <w:color w:val="000000" w:themeColor="text1"/>
          <w:szCs w:val="22"/>
        </w:rPr>
        <w:footnoteReference w:id="17"/>
      </w:r>
      <w:r w:rsidR="005D5D88">
        <w:rPr>
          <w:rFonts w:eastAsiaTheme="minorEastAsia" w:cs="Arial"/>
          <w:color w:val="000000" w:themeColor="text1"/>
          <w:szCs w:val="22"/>
        </w:rPr>
        <w:t xml:space="preserve"> De reden voor het stellen van de eis dat professionele hulp in de gegeven omstandigheden normaal en gebruikelijk is, ligt vermoedelijk (de Hoge Raad expliciteerde dat niet) daarin dat de stap om in dergelijke gevallen tot een vergoeding te komen een commercialisering van ‘privé-tijd’ tot gevolg had. Wanneer in die privé-tijd professionele taken worden verricht, is het eerder redelijk daarvoor een vergoeding toe te kennen</w:t>
      </w:r>
      <w:r w:rsidR="00E0692F">
        <w:rPr>
          <w:rFonts w:eastAsiaTheme="minorEastAsia" w:cs="Arial"/>
          <w:color w:val="000000" w:themeColor="text1"/>
          <w:szCs w:val="22"/>
        </w:rPr>
        <w:t>, omdat het om een activiteit met een zekere marktwaarde gaat</w:t>
      </w:r>
      <w:r w:rsidR="005D5D88">
        <w:rPr>
          <w:rFonts w:eastAsiaTheme="minorEastAsia" w:cs="Arial"/>
          <w:color w:val="000000" w:themeColor="text1"/>
          <w:szCs w:val="22"/>
        </w:rPr>
        <w:t>. De vraag of professionele taken worden verricht is evenwel niet goed te toetsen met het criterium of het in het gegeven geval ‘normaal en gebruikelijk’ is om professionele hulp in te schakelen, omdat dat in Nederland zelden ‘normaal en gebruikelijk’ is. Redelijkheid is daarom een beter criterium.</w:t>
      </w:r>
      <w:r w:rsidR="00885AA2">
        <w:rPr>
          <w:rFonts w:eastAsiaTheme="minorEastAsia" w:cs="Arial"/>
          <w:color w:val="000000" w:themeColor="text1"/>
          <w:szCs w:val="22"/>
        </w:rPr>
        <w:t xml:space="preserve"> Omdat dit criterium aansluit bij het wettelijk stelsel, lijkt het mij tenminste bepleitbaar dat het ook reeds naar huidig recht geldt.</w:t>
      </w:r>
    </w:p>
    <w:p w:rsidR="00D66BE2" w:rsidRDefault="00D66BE2" w:rsidP="00847DF6">
      <w:pPr>
        <w:rPr>
          <w:rFonts w:eastAsiaTheme="minorEastAsia" w:cs="Arial"/>
          <w:color w:val="000000" w:themeColor="text1"/>
          <w:szCs w:val="22"/>
        </w:rPr>
      </w:pPr>
    </w:p>
    <w:p w:rsidR="00D66BE2" w:rsidRDefault="00D66BE2" w:rsidP="00847DF6">
      <w:pPr>
        <w:rPr>
          <w:rFonts w:eastAsiaTheme="minorEastAsia" w:cs="Arial"/>
          <w:color w:val="000000" w:themeColor="text1"/>
          <w:szCs w:val="22"/>
        </w:rPr>
      </w:pPr>
      <w:r>
        <w:rPr>
          <w:rFonts w:eastAsiaTheme="minorEastAsia" w:cs="Arial"/>
          <w:color w:val="000000" w:themeColor="text1"/>
          <w:szCs w:val="22"/>
        </w:rPr>
        <w:t>Het tweede – ook vergoeding voor begeleiding – lijkt me een vooruitgang, omdat (redelijke) begeleiding bijdraagt aan het herstel. Naar aanleiding van het Kruidhof-arrest was in de literatuur al bepleit dat bezoek – zeker van een ernstig gewond kind – bijdraagt aan herstel en dat om die reden de daar</w:t>
      </w:r>
      <w:r w:rsidR="00885AA2">
        <w:rPr>
          <w:rFonts w:eastAsiaTheme="minorEastAsia" w:cs="Arial"/>
          <w:color w:val="000000" w:themeColor="text1"/>
          <w:szCs w:val="22"/>
        </w:rPr>
        <w:t>a</w:t>
      </w:r>
      <w:r>
        <w:rPr>
          <w:rFonts w:eastAsiaTheme="minorEastAsia" w:cs="Arial"/>
          <w:color w:val="000000" w:themeColor="text1"/>
          <w:szCs w:val="22"/>
        </w:rPr>
        <w:t>an</w:t>
      </w:r>
      <w:r w:rsidR="00885AA2">
        <w:rPr>
          <w:rFonts w:eastAsiaTheme="minorEastAsia" w:cs="Arial"/>
          <w:color w:val="000000" w:themeColor="text1"/>
          <w:szCs w:val="22"/>
        </w:rPr>
        <w:t xml:space="preserve"> bestede tijd</w:t>
      </w:r>
      <w:r>
        <w:rPr>
          <w:rFonts w:eastAsiaTheme="minorEastAsia" w:cs="Arial"/>
          <w:color w:val="000000" w:themeColor="text1"/>
          <w:szCs w:val="22"/>
        </w:rPr>
        <w:t xml:space="preserve"> voor vergoeding in aanmerking zou moeten komen.</w:t>
      </w:r>
      <w:r w:rsidR="00DB0CAA">
        <w:rPr>
          <w:rStyle w:val="FootnoteReference"/>
          <w:rFonts w:eastAsiaTheme="minorEastAsia" w:cs="Arial"/>
          <w:color w:val="000000" w:themeColor="text1"/>
          <w:szCs w:val="22"/>
        </w:rPr>
        <w:footnoteReference w:id="18"/>
      </w:r>
      <w:r>
        <w:rPr>
          <w:rFonts w:eastAsiaTheme="minorEastAsia" w:cs="Arial"/>
          <w:color w:val="000000" w:themeColor="text1"/>
          <w:szCs w:val="22"/>
        </w:rPr>
        <w:t xml:space="preserve"> Hoewel dus bepleitbaar is dat ook onder huidig recht een aanspraak op vergoeding van dergelijke kosten (waaronder begrepen daaraan bestede tijd) bestaat, beoogt het voorstel dat buiten twijfel te stellen. Het lijkt me </w:t>
      </w:r>
      <w:r>
        <w:rPr>
          <w:rFonts w:eastAsiaTheme="minorEastAsia" w:cs="Arial"/>
          <w:color w:val="000000" w:themeColor="text1"/>
          <w:szCs w:val="22"/>
        </w:rPr>
        <w:lastRenderedPageBreak/>
        <w:t>overigens alleszins verdedigbaar dat naasten in het kader van hun bijdrage aan herstel ook aanspraak hebben op vergoeding van andere kosten. Men denke aan kosten van opleiding, therapie of andersoortige begeleiding om te leren omgaan met ernstig letsel van de (primair) gekwetste. Dat is immers in diens onmiddellijke belang en kan onder omstandigheden door de aard of ernst van het letsel worden gerechtvaardigd.</w:t>
      </w:r>
      <w:r w:rsidR="0036745E">
        <w:rPr>
          <w:rStyle w:val="FootnoteReference"/>
          <w:rFonts w:eastAsiaTheme="minorEastAsia" w:cs="Arial"/>
          <w:color w:val="000000" w:themeColor="text1"/>
          <w:szCs w:val="22"/>
        </w:rPr>
        <w:footnoteReference w:id="19"/>
      </w:r>
      <w:r>
        <w:rPr>
          <w:rFonts w:eastAsiaTheme="minorEastAsia" w:cs="Arial"/>
          <w:color w:val="000000" w:themeColor="text1"/>
          <w:szCs w:val="22"/>
        </w:rPr>
        <w:t xml:space="preserve"> </w:t>
      </w:r>
      <w:r w:rsidR="0036745E">
        <w:rPr>
          <w:rFonts w:eastAsiaTheme="minorEastAsia" w:cs="Arial"/>
          <w:color w:val="000000" w:themeColor="text1"/>
          <w:szCs w:val="22"/>
        </w:rPr>
        <w:t xml:space="preserve">Te denken valt bijvoorbeeld </w:t>
      </w:r>
      <w:r>
        <w:rPr>
          <w:rFonts w:eastAsiaTheme="minorEastAsia" w:cs="Arial"/>
          <w:color w:val="000000" w:themeColor="text1"/>
          <w:szCs w:val="22"/>
        </w:rPr>
        <w:t>aan ouders die worden geconfronteerd met seksueel misbruik van hun kinderen, of aan een partner die juist wordt geconfronteerd met seksuele beperkingen van de gekwetste.</w:t>
      </w:r>
    </w:p>
    <w:p w:rsidR="00D66BE2" w:rsidRDefault="00D66BE2" w:rsidP="00847DF6">
      <w:pPr>
        <w:rPr>
          <w:rFonts w:eastAsiaTheme="minorEastAsia" w:cs="Arial"/>
          <w:color w:val="000000" w:themeColor="text1"/>
          <w:szCs w:val="22"/>
        </w:rPr>
      </w:pPr>
    </w:p>
    <w:p w:rsidR="0036745E" w:rsidRDefault="0036745E" w:rsidP="00847DF6">
      <w:pPr>
        <w:rPr>
          <w:rFonts w:eastAsiaTheme="minorEastAsia" w:cs="Arial"/>
          <w:color w:val="000000" w:themeColor="text1"/>
          <w:szCs w:val="22"/>
        </w:rPr>
      </w:pPr>
      <w:r>
        <w:rPr>
          <w:rFonts w:eastAsiaTheme="minorEastAsia" w:cs="Arial"/>
          <w:color w:val="000000" w:themeColor="text1"/>
          <w:szCs w:val="22"/>
        </w:rPr>
        <w:t>Het derde – kosten van professionele hulp vormen niet langer het plafond – is het meest in het oog springende, maar wellicht ook het meest problematische aspect van het voorstel. Naar huidig recht is overigens ook verdedigbaar dat het plafond van kosten van professionele hulp niet bestaat in het geval dat door een naaste in concreto door tijd te besteden aan verzorging meer inkomen is prijsgegeven.</w:t>
      </w:r>
      <w:r w:rsidR="00772D34">
        <w:rPr>
          <w:rStyle w:val="FootnoteReference"/>
          <w:rFonts w:eastAsiaTheme="minorEastAsia" w:cs="Arial"/>
          <w:color w:val="000000" w:themeColor="text1"/>
          <w:szCs w:val="22"/>
        </w:rPr>
        <w:footnoteReference w:id="20"/>
      </w:r>
      <w:r>
        <w:rPr>
          <w:rFonts w:eastAsiaTheme="minorEastAsia" w:cs="Arial"/>
          <w:color w:val="000000" w:themeColor="text1"/>
          <w:szCs w:val="22"/>
        </w:rPr>
        <w:t xml:space="preserve"> Verdedigbaar is immers dat aan een gekwetste die in redelijkheid kiest voor hulp door een naaste niet kan worden tegengeworpen dat hij niet de meest economische keuze (in casu kennelijk verzorging door een professionele hulpverlener) heeft gemaakt. Ook in andere gevallen is ter zake van kosten van beperking van schade immers de redelijkheid – en dat is niet per definitie goedkoopste keuze – beslissend.</w:t>
      </w:r>
      <w:r w:rsidR="00772D34">
        <w:rPr>
          <w:rFonts w:eastAsiaTheme="minorEastAsia" w:cs="Arial"/>
          <w:color w:val="000000" w:themeColor="text1"/>
          <w:szCs w:val="22"/>
        </w:rPr>
        <w:t xml:space="preserve"> Zo heeft de Hoge Raad ten aanzien van overlijdensschade aanvaard dat, wanneer een weduwe inkomen prijsgeeft om voor de kinderen te gaan zorgen, de gehele inkomensderving in de berekening van de vergoeding moet worden betrokken.</w:t>
      </w:r>
      <w:r w:rsidR="00772D34">
        <w:rPr>
          <w:rStyle w:val="FootnoteReference"/>
          <w:rFonts w:eastAsiaTheme="minorEastAsia" w:cs="Arial"/>
          <w:color w:val="000000" w:themeColor="text1"/>
          <w:szCs w:val="22"/>
        </w:rPr>
        <w:footnoteReference w:id="21"/>
      </w:r>
      <w:r w:rsidR="00772D34">
        <w:rPr>
          <w:rFonts w:eastAsiaTheme="minorEastAsia" w:cs="Arial"/>
          <w:color w:val="000000" w:themeColor="text1"/>
          <w:szCs w:val="22"/>
        </w:rPr>
        <w:t xml:space="preserve"> Intussen is deze gedachtelijn – en daarmee dit aspect van het voorstel – natuurlijk niet zonder problemen. In feite vindt hier immers</w:t>
      </w:r>
      <w:r w:rsidR="008F3274">
        <w:rPr>
          <w:rFonts w:eastAsiaTheme="minorEastAsia" w:cs="Arial"/>
          <w:color w:val="000000" w:themeColor="text1"/>
          <w:szCs w:val="22"/>
        </w:rPr>
        <w:t xml:space="preserve"> een soort </w:t>
      </w:r>
      <w:r w:rsidR="00772D34">
        <w:rPr>
          <w:rFonts w:eastAsiaTheme="minorEastAsia" w:cs="Arial"/>
          <w:color w:val="000000" w:themeColor="text1"/>
          <w:szCs w:val="22"/>
        </w:rPr>
        <w:t>kapitaalvernietiging plaats, omdat uitbesteding aan een professional goedkoper zou zijn. Dat betekent dat daarmee in het redelijkheidsoordeel ook</w:t>
      </w:r>
      <w:r>
        <w:rPr>
          <w:rFonts w:eastAsiaTheme="minorEastAsia" w:cs="Arial"/>
          <w:color w:val="000000" w:themeColor="text1"/>
          <w:szCs w:val="22"/>
        </w:rPr>
        <w:t xml:space="preserve"> </w:t>
      </w:r>
      <w:r w:rsidR="00772D34">
        <w:rPr>
          <w:rFonts w:eastAsiaTheme="minorEastAsia" w:cs="Arial"/>
          <w:color w:val="000000" w:themeColor="text1"/>
          <w:szCs w:val="22"/>
        </w:rPr>
        <w:t xml:space="preserve">rekening moet worden gehouden: gaat het om kleine verschillen, dan is het eerder redelijk om te kiezen voor </w:t>
      </w:r>
      <w:r w:rsidR="005E69D3">
        <w:rPr>
          <w:rFonts w:eastAsiaTheme="minorEastAsia" w:cs="Arial"/>
          <w:color w:val="000000" w:themeColor="text1"/>
          <w:szCs w:val="22"/>
        </w:rPr>
        <w:t xml:space="preserve">verzorging door de naaste, maar naarmate het verschil groter wordt, </w:t>
      </w:r>
      <w:r w:rsidR="008F3274">
        <w:rPr>
          <w:rFonts w:eastAsiaTheme="minorEastAsia" w:cs="Arial"/>
          <w:color w:val="000000" w:themeColor="text1"/>
          <w:szCs w:val="22"/>
        </w:rPr>
        <w:t>kan</w:t>
      </w:r>
      <w:r w:rsidR="005E69D3">
        <w:rPr>
          <w:rFonts w:eastAsiaTheme="minorEastAsia" w:cs="Arial"/>
          <w:color w:val="000000" w:themeColor="text1"/>
          <w:szCs w:val="22"/>
        </w:rPr>
        <w:t xml:space="preserve"> de redelijkheid van de keuze</w:t>
      </w:r>
      <w:r w:rsidR="008F3274">
        <w:rPr>
          <w:rFonts w:eastAsiaTheme="minorEastAsia" w:cs="Arial"/>
          <w:color w:val="000000" w:themeColor="text1"/>
          <w:szCs w:val="22"/>
        </w:rPr>
        <w:t xml:space="preserve"> verbleken</w:t>
      </w:r>
      <w:r w:rsidR="005E69D3">
        <w:rPr>
          <w:rFonts w:eastAsiaTheme="minorEastAsia" w:cs="Arial"/>
          <w:color w:val="000000" w:themeColor="text1"/>
          <w:szCs w:val="22"/>
        </w:rPr>
        <w:t xml:space="preserve">. Hierbij moet overigens worden opgemerkt dat heel verschillende situaties denkbaar zijn: de </w:t>
      </w:r>
      <w:r w:rsidR="00BA6A8F">
        <w:rPr>
          <w:rFonts w:eastAsiaTheme="minorEastAsia" w:cs="Arial"/>
          <w:color w:val="000000" w:themeColor="text1"/>
          <w:szCs w:val="22"/>
        </w:rPr>
        <w:t>ou</w:t>
      </w:r>
      <w:r w:rsidR="005E69D3">
        <w:rPr>
          <w:rFonts w:eastAsiaTheme="minorEastAsia" w:cs="Arial"/>
          <w:color w:val="000000" w:themeColor="text1"/>
          <w:szCs w:val="22"/>
        </w:rPr>
        <w:t xml:space="preserve">der die tussen de bedrijven van een goedlopende advocatenpraktijk door een kind naar een arts begeleidt, zal in redelijkheid geen aanspraak kunnen maken op vergoeding van het uurtarief als advocaat. De ouder die als gevolg van overlijden van de partner of zeer ernstig en blijvend letsel van een kind een heroverweging maakt van zijn professionele </w:t>
      </w:r>
      <w:r w:rsidR="00885AA2">
        <w:rPr>
          <w:rFonts w:eastAsiaTheme="minorEastAsia" w:cs="Arial"/>
          <w:color w:val="000000" w:themeColor="text1"/>
          <w:szCs w:val="22"/>
        </w:rPr>
        <w:t>bestaan</w:t>
      </w:r>
      <w:r w:rsidR="005E69D3">
        <w:rPr>
          <w:rFonts w:eastAsiaTheme="minorEastAsia" w:cs="Arial"/>
          <w:color w:val="000000" w:themeColor="text1"/>
          <w:szCs w:val="22"/>
        </w:rPr>
        <w:t xml:space="preserve"> verdient mijns inziens meer </w:t>
      </w:r>
      <w:r w:rsidR="00387A4D">
        <w:rPr>
          <w:rFonts w:eastAsiaTheme="minorEastAsia" w:cs="Arial"/>
          <w:color w:val="000000" w:themeColor="text1"/>
          <w:szCs w:val="22"/>
        </w:rPr>
        <w:t xml:space="preserve">begrip en </w:t>
      </w:r>
      <w:r w:rsidR="005E69D3">
        <w:rPr>
          <w:rFonts w:eastAsiaTheme="minorEastAsia" w:cs="Arial"/>
          <w:color w:val="000000" w:themeColor="text1"/>
          <w:szCs w:val="22"/>
        </w:rPr>
        <w:t xml:space="preserve">steun. Die steun zal overigens in de eerste plaats kunnen bestaan uit meedenken en ontzorgen door de aansprakelijke en diens verzekeraar, waardoor de schade </w:t>
      </w:r>
      <w:r w:rsidR="00885AA2">
        <w:rPr>
          <w:rFonts w:eastAsiaTheme="minorEastAsia" w:cs="Arial"/>
          <w:color w:val="000000" w:themeColor="text1"/>
          <w:szCs w:val="22"/>
        </w:rPr>
        <w:t xml:space="preserve">mogelijk </w:t>
      </w:r>
      <w:r w:rsidR="005E69D3">
        <w:rPr>
          <w:rFonts w:eastAsiaTheme="minorEastAsia" w:cs="Arial"/>
          <w:color w:val="000000" w:themeColor="text1"/>
          <w:szCs w:val="22"/>
        </w:rPr>
        <w:t xml:space="preserve">aanzienlijk kan worden beperkt. Gaat het om zeer ernstige handicaps die voor het kind een blijvende zorgbehoefte meebrengen, dan is het overigens de vraag of het prijsgeven van een professionele loopbaan door een ouder </w:t>
      </w:r>
      <w:r w:rsidR="008F3274">
        <w:rPr>
          <w:rFonts w:eastAsiaTheme="minorEastAsia" w:cs="Arial"/>
          <w:color w:val="000000" w:themeColor="text1"/>
          <w:szCs w:val="22"/>
        </w:rPr>
        <w:t xml:space="preserve">steeds </w:t>
      </w:r>
      <w:r w:rsidR="005E69D3">
        <w:rPr>
          <w:rFonts w:eastAsiaTheme="minorEastAsia" w:cs="Arial"/>
          <w:color w:val="000000" w:themeColor="text1"/>
          <w:szCs w:val="22"/>
        </w:rPr>
        <w:t>adequaat (en dus redelijk) is; dat brengt mij op een volgend punt.</w:t>
      </w:r>
    </w:p>
    <w:p w:rsidR="0036745E" w:rsidRDefault="0036745E" w:rsidP="00847DF6">
      <w:pPr>
        <w:rPr>
          <w:rFonts w:eastAsiaTheme="minorEastAsia" w:cs="Arial"/>
          <w:color w:val="000000" w:themeColor="text1"/>
          <w:szCs w:val="22"/>
        </w:rPr>
      </w:pPr>
    </w:p>
    <w:p w:rsidR="00847DF6" w:rsidRDefault="00A927EE" w:rsidP="00847DF6">
      <w:pPr>
        <w:rPr>
          <w:rFonts w:eastAsiaTheme="minorEastAsia" w:cs="Arial"/>
          <w:color w:val="000000" w:themeColor="text1"/>
          <w:szCs w:val="22"/>
        </w:rPr>
      </w:pPr>
      <w:r>
        <w:rPr>
          <w:rFonts w:eastAsiaTheme="minorEastAsia" w:cs="Arial"/>
          <w:color w:val="000000" w:themeColor="text1"/>
          <w:szCs w:val="22"/>
        </w:rPr>
        <w:lastRenderedPageBreak/>
        <w:t xml:space="preserve">Problematisch zijn </w:t>
      </w:r>
      <w:r w:rsidR="008F3274">
        <w:rPr>
          <w:rFonts w:eastAsiaTheme="minorEastAsia" w:cs="Arial"/>
          <w:color w:val="000000" w:themeColor="text1"/>
          <w:szCs w:val="22"/>
        </w:rPr>
        <w:t xml:space="preserve">vooral </w:t>
      </w:r>
      <w:r>
        <w:rPr>
          <w:rFonts w:eastAsiaTheme="minorEastAsia" w:cs="Arial"/>
          <w:color w:val="000000" w:themeColor="text1"/>
          <w:szCs w:val="22"/>
        </w:rPr>
        <w:t xml:space="preserve">de in de toekomst te maken kosten van zorg, en wel om verschillende </w:t>
      </w:r>
      <w:r w:rsidR="00660089">
        <w:rPr>
          <w:rFonts w:eastAsiaTheme="minorEastAsia" w:cs="Arial"/>
          <w:color w:val="000000" w:themeColor="text1"/>
          <w:szCs w:val="22"/>
        </w:rPr>
        <w:t>– overigens deels onder het bestaande recht ook geldende</w:t>
      </w:r>
      <w:r w:rsidR="003F4891">
        <w:rPr>
          <w:rStyle w:val="FootnoteReference"/>
          <w:rFonts w:eastAsiaTheme="minorEastAsia" w:cs="Arial"/>
          <w:color w:val="000000" w:themeColor="text1"/>
          <w:szCs w:val="22"/>
        </w:rPr>
        <w:footnoteReference w:id="22"/>
      </w:r>
      <w:r w:rsidR="00660089">
        <w:rPr>
          <w:rFonts w:eastAsiaTheme="minorEastAsia" w:cs="Arial"/>
          <w:color w:val="000000" w:themeColor="text1"/>
          <w:szCs w:val="22"/>
        </w:rPr>
        <w:t xml:space="preserve"> – </w:t>
      </w:r>
      <w:r>
        <w:rPr>
          <w:rFonts w:eastAsiaTheme="minorEastAsia" w:cs="Arial"/>
          <w:color w:val="000000" w:themeColor="text1"/>
          <w:szCs w:val="22"/>
        </w:rPr>
        <w:t>redenen.</w:t>
      </w:r>
      <w:r w:rsidR="00660089">
        <w:rPr>
          <w:rStyle w:val="FootnoteReference"/>
          <w:rFonts w:eastAsiaTheme="minorEastAsia" w:cs="Arial"/>
          <w:color w:val="000000" w:themeColor="text1"/>
          <w:szCs w:val="22"/>
        </w:rPr>
        <w:footnoteReference w:id="23"/>
      </w:r>
      <w:r>
        <w:rPr>
          <w:rFonts w:eastAsiaTheme="minorEastAsia" w:cs="Arial"/>
          <w:color w:val="000000" w:themeColor="text1"/>
          <w:szCs w:val="22"/>
        </w:rPr>
        <w:t xml:space="preserve"> De benadeelde weet, als het om een wat verdere toekomst gaat, </w:t>
      </w:r>
      <w:r w:rsidR="00CF4771">
        <w:rPr>
          <w:rFonts w:eastAsiaTheme="minorEastAsia" w:cs="Arial"/>
          <w:color w:val="000000" w:themeColor="text1"/>
          <w:szCs w:val="22"/>
        </w:rPr>
        <w:t xml:space="preserve">niet altijd welke concrete behoefte aan zorg hij zal hebben. Hij weet, </w:t>
      </w:r>
      <w:r>
        <w:rPr>
          <w:rFonts w:eastAsiaTheme="minorEastAsia" w:cs="Arial"/>
          <w:color w:val="000000" w:themeColor="text1"/>
          <w:szCs w:val="22"/>
        </w:rPr>
        <w:t xml:space="preserve">mede gelet op het </w:t>
      </w:r>
      <w:r w:rsidR="00A24B93">
        <w:rPr>
          <w:rFonts w:eastAsiaTheme="minorEastAsia" w:cs="Arial"/>
          <w:color w:val="000000" w:themeColor="text1"/>
          <w:szCs w:val="22"/>
        </w:rPr>
        <w:t xml:space="preserve">nogal </w:t>
      </w:r>
      <w:r>
        <w:rPr>
          <w:rFonts w:eastAsiaTheme="minorEastAsia" w:cs="Arial"/>
          <w:color w:val="000000" w:themeColor="text1"/>
          <w:szCs w:val="22"/>
        </w:rPr>
        <w:t xml:space="preserve">‘volatiel’ gebleken zorglandschap, </w:t>
      </w:r>
      <w:r w:rsidR="00CF4771">
        <w:rPr>
          <w:rFonts w:eastAsiaTheme="minorEastAsia" w:cs="Arial"/>
          <w:color w:val="000000" w:themeColor="text1"/>
          <w:szCs w:val="22"/>
        </w:rPr>
        <w:t>evenmin in welke mate daar</w:t>
      </w:r>
      <w:r w:rsidR="00885AA2">
        <w:rPr>
          <w:rFonts w:eastAsiaTheme="minorEastAsia" w:cs="Arial"/>
          <w:color w:val="000000" w:themeColor="text1"/>
          <w:szCs w:val="22"/>
        </w:rPr>
        <w:t>in</w:t>
      </w:r>
      <w:r w:rsidR="00CF4771">
        <w:rPr>
          <w:rFonts w:eastAsiaTheme="minorEastAsia" w:cs="Arial"/>
          <w:color w:val="000000" w:themeColor="text1"/>
          <w:szCs w:val="22"/>
        </w:rPr>
        <w:t xml:space="preserve"> van overheidswege zal worden voorzien</w:t>
      </w:r>
      <w:r>
        <w:rPr>
          <w:rFonts w:eastAsiaTheme="minorEastAsia" w:cs="Arial"/>
          <w:color w:val="000000" w:themeColor="text1"/>
          <w:szCs w:val="22"/>
        </w:rPr>
        <w:t>.</w:t>
      </w:r>
      <w:r w:rsidR="00CF4771">
        <w:rPr>
          <w:rFonts w:eastAsiaTheme="minorEastAsia" w:cs="Arial"/>
          <w:color w:val="000000" w:themeColor="text1"/>
          <w:szCs w:val="22"/>
        </w:rPr>
        <w:t xml:space="preserve"> En d</w:t>
      </w:r>
      <w:r>
        <w:rPr>
          <w:rFonts w:eastAsiaTheme="minorEastAsia" w:cs="Arial"/>
          <w:color w:val="000000" w:themeColor="text1"/>
          <w:szCs w:val="22"/>
        </w:rPr>
        <w:t>e benadeelde</w:t>
      </w:r>
      <w:r w:rsidR="00CF4771">
        <w:rPr>
          <w:rFonts w:eastAsiaTheme="minorEastAsia" w:cs="Arial"/>
          <w:color w:val="000000" w:themeColor="text1"/>
          <w:szCs w:val="22"/>
        </w:rPr>
        <w:t xml:space="preserve"> in wiens zorgbehoefte door naasten wordt voorzien</w:t>
      </w:r>
      <w:r>
        <w:rPr>
          <w:rFonts w:eastAsiaTheme="minorEastAsia" w:cs="Arial"/>
          <w:color w:val="000000" w:themeColor="text1"/>
          <w:szCs w:val="22"/>
        </w:rPr>
        <w:t xml:space="preserve"> weet </w:t>
      </w:r>
      <w:r w:rsidR="00CF4771">
        <w:rPr>
          <w:rFonts w:eastAsiaTheme="minorEastAsia" w:cs="Arial"/>
          <w:color w:val="000000" w:themeColor="text1"/>
          <w:szCs w:val="22"/>
        </w:rPr>
        <w:t>ten slotte niet</w:t>
      </w:r>
      <w:r>
        <w:rPr>
          <w:rFonts w:eastAsiaTheme="minorEastAsia" w:cs="Arial"/>
          <w:color w:val="000000" w:themeColor="text1"/>
          <w:szCs w:val="22"/>
        </w:rPr>
        <w:t xml:space="preserve"> in hoeverre hij op </w:t>
      </w:r>
      <w:r w:rsidR="00CF4771">
        <w:rPr>
          <w:rFonts w:eastAsiaTheme="minorEastAsia" w:cs="Arial"/>
          <w:color w:val="000000" w:themeColor="text1"/>
          <w:szCs w:val="22"/>
        </w:rPr>
        <w:t xml:space="preserve">hun inzet </w:t>
      </w:r>
      <w:r>
        <w:rPr>
          <w:rFonts w:eastAsiaTheme="minorEastAsia" w:cs="Arial"/>
          <w:color w:val="000000" w:themeColor="text1"/>
          <w:szCs w:val="22"/>
        </w:rPr>
        <w:t>kan blijven rekenen.</w:t>
      </w:r>
      <w:r w:rsidR="00A24B93">
        <w:rPr>
          <w:rFonts w:eastAsiaTheme="minorEastAsia" w:cs="Arial"/>
          <w:color w:val="000000" w:themeColor="text1"/>
          <w:szCs w:val="22"/>
        </w:rPr>
        <w:t xml:space="preserve"> </w:t>
      </w:r>
      <w:r w:rsidR="00CF4771">
        <w:rPr>
          <w:rFonts w:eastAsiaTheme="minorEastAsia" w:cs="Arial"/>
          <w:color w:val="000000" w:themeColor="text1"/>
          <w:szCs w:val="22"/>
        </w:rPr>
        <w:t xml:space="preserve">Dit laatste aspect brengt, zoals het voorstel stelt, mee dat </w:t>
      </w:r>
      <w:r w:rsidR="00660089">
        <w:rPr>
          <w:rFonts w:eastAsiaTheme="minorEastAsia" w:cs="Arial"/>
          <w:color w:val="000000" w:themeColor="text1"/>
          <w:szCs w:val="22"/>
        </w:rPr>
        <w:t>– zoals ook naar huidige recht geldt – d</w:t>
      </w:r>
      <w:r w:rsidR="00CF4771">
        <w:rPr>
          <w:rFonts w:eastAsiaTheme="minorEastAsia" w:cs="Arial"/>
          <w:color w:val="000000" w:themeColor="text1"/>
          <w:szCs w:val="22"/>
        </w:rPr>
        <w:t xml:space="preserve">e vergoeding ter zake van in de toekomst te genieten zorg aan de benadeelde zelf toekomt. </w:t>
      </w:r>
      <w:r w:rsidR="00A24B93">
        <w:rPr>
          <w:rFonts w:eastAsiaTheme="minorEastAsia" w:cs="Arial"/>
          <w:color w:val="000000" w:themeColor="text1"/>
          <w:szCs w:val="22"/>
        </w:rPr>
        <w:t>De nogal fundamentele onzekerheden</w:t>
      </w:r>
      <w:r w:rsidR="00CF4771">
        <w:rPr>
          <w:rFonts w:eastAsiaTheme="minorEastAsia" w:cs="Arial"/>
          <w:color w:val="000000" w:themeColor="text1"/>
          <w:szCs w:val="22"/>
        </w:rPr>
        <w:t xml:space="preserve"> ten aanzien van de toekomstige behoefte aan zorg</w:t>
      </w:r>
      <w:r w:rsidR="00A24B93">
        <w:rPr>
          <w:rFonts w:eastAsiaTheme="minorEastAsia" w:cs="Arial"/>
          <w:color w:val="000000" w:themeColor="text1"/>
          <w:szCs w:val="22"/>
        </w:rPr>
        <w:t xml:space="preserve"> brengen </w:t>
      </w:r>
      <w:r w:rsidR="00CF4771">
        <w:rPr>
          <w:rFonts w:eastAsiaTheme="minorEastAsia" w:cs="Arial"/>
          <w:color w:val="000000" w:themeColor="text1"/>
          <w:szCs w:val="22"/>
        </w:rPr>
        <w:t>verder</w:t>
      </w:r>
      <w:r w:rsidR="00A24B93">
        <w:rPr>
          <w:rFonts w:eastAsiaTheme="minorEastAsia" w:cs="Arial"/>
          <w:color w:val="000000" w:themeColor="text1"/>
          <w:szCs w:val="22"/>
        </w:rPr>
        <w:t xml:space="preserve"> mee dat het</w:t>
      </w:r>
      <w:r w:rsidR="00CF4771">
        <w:rPr>
          <w:rFonts w:eastAsiaTheme="minorEastAsia" w:cs="Arial"/>
          <w:color w:val="000000" w:themeColor="text1"/>
          <w:szCs w:val="22"/>
        </w:rPr>
        <w:t>,</w:t>
      </w:r>
      <w:r w:rsidR="00A24B93">
        <w:rPr>
          <w:rFonts w:eastAsiaTheme="minorEastAsia" w:cs="Arial"/>
          <w:color w:val="000000" w:themeColor="text1"/>
          <w:szCs w:val="22"/>
        </w:rPr>
        <w:t xml:space="preserve"> in gevallen van verwachte langdurige zorgbehoefte van enige omvang</w:t>
      </w:r>
      <w:r w:rsidR="00CF4771">
        <w:rPr>
          <w:rFonts w:eastAsiaTheme="minorEastAsia" w:cs="Arial"/>
          <w:color w:val="000000" w:themeColor="text1"/>
          <w:szCs w:val="22"/>
        </w:rPr>
        <w:t>,</w:t>
      </w:r>
      <w:r w:rsidR="00A24B93">
        <w:rPr>
          <w:rFonts w:eastAsiaTheme="minorEastAsia" w:cs="Arial"/>
          <w:color w:val="000000" w:themeColor="text1"/>
          <w:szCs w:val="22"/>
        </w:rPr>
        <w:t xml:space="preserve"> raadzaam </w:t>
      </w:r>
      <w:r w:rsidR="00CF4771">
        <w:rPr>
          <w:rFonts w:eastAsiaTheme="minorEastAsia" w:cs="Arial"/>
          <w:color w:val="000000" w:themeColor="text1"/>
          <w:szCs w:val="22"/>
        </w:rPr>
        <w:t>– zo niet noodzakelijk – is</w:t>
      </w:r>
      <w:r w:rsidR="00A24B93">
        <w:rPr>
          <w:rFonts w:eastAsiaTheme="minorEastAsia" w:cs="Arial"/>
          <w:color w:val="000000" w:themeColor="text1"/>
          <w:szCs w:val="22"/>
        </w:rPr>
        <w:t xml:space="preserve"> periodiek af te wikkelen.</w:t>
      </w:r>
      <w:r w:rsidR="00CF4771">
        <w:rPr>
          <w:rFonts w:eastAsiaTheme="minorEastAsia" w:cs="Arial"/>
          <w:color w:val="000000" w:themeColor="text1"/>
          <w:szCs w:val="22"/>
        </w:rPr>
        <w:t xml:space="preserve"> Dat is op zichzelf in de praktijk al problematisch, maar dat wordt het eens te meer wanneer men, zoals het voorstel doet, de mogelijkheid opent dat de omvang van de vergoeding ter zake van de kosten van zorg de kosten van professionele zorg mag overstijgen in het geval naasten daarvoor zelf een hoger inkomen </w:t>
      </w:r>
      <w:r w:rsidR="000D67C2">
        <w:rPr>
          <w:rFonts w:eastAsiaTheme="minorEastAsia" w:cs="Arial"/>
          <w:color w:val="000000" w:themeColor="text1"/>
          <w:szCs w:val="22"/>
        </w:rPr>
        <w:t>prijs</w:t>
      </w:r>
      <w:r w:rsidR="00CF4771">
        <w:rPr>
          <w:rFonts w:eastAsiaTheme="minorEastAsia" w:cs="Arial"/>
          <w:color w:val="000000" w:themeColor="text1"/>
          <w:szCs w:val="22"/>
        </w:rPr>
        <w:t>geven.</w:t>
      </w:r>
      <w:r w:rsidR="00394952">
        <w:rPr>
          <w:rFonts w:eastAsiaTheme="minorEastAsia" w:cs="Arial"/>
          <w:color w:val="000000" w:themeColor="text1"/>
          <w:szCs w:val="22"/>
        </w:rPr>
        <w:t xml:space="preserve"> Voor het verleden (‘gemaakte kosten’) is dat wellicht nog wel hanteerbaar, maar voor de toekomst is dit aspect om allerlei redenen problematisch: de redelijkheid van het voor de toekomst prijsgeven van inkomsten uit arbeid, de redelijkheid van de omvang daarvan, de onzekerheid ten aanzien van de verwachte duur van de benodigde zorg (levensverwachting gekwetste) en van de door de naaste te verstrekken zorg (levensverwachting, geschiktheid en beschikbaarheid van de naaste) vormen allemaal niet alleen punten van</w:t>
      </w:r>
      <w:r w:rsidR="00387A4D">
        <w:rPr>
          <w:rFonts w:eastAsiaTheme="minorEastAsia" w:cs="Arial"/>
          <w:color w:val="000000" w:themeColor="text1"/>
          <w:szCs w:val="22"/>
        </w:rPr>
        <w:t xml:space="preserve"> waarschijnlijke</w:t>
      </w:r>
      <w:r w:rsidR="00394952">
        <w:rPr>
          <w:rFonts w:eastAsiaTheme="minorEastAsia" w:cs="Arial"/>
          <w:color w:val="000000" w:themeColor="text1"/>
          <w:szCs w:val="22"/>
        </w:rPr>
        <w:t xml:space="preserve"> discussie</w:t>
      </w:r>
      <w:r w:rsidR="000D67C2">
        <w:rPr>
          <w:rFonts w:eastAsiaTheme="minorEastAsia" w:cs="Arial"/>
          <w:color w:val="000000" w:themeColor="text1"/>
          <w:szCs w:val="22"/>
        </w:rPr>
        <w:t xml:space="preserve"> die een praktische afwikkeling ernstig kunnen belemmeren</w:t>
      </w:r>
      <w:r w:rsidR="00387A4D">
        <w:rPr>
          <w:rFonts w:eastAsiaTheme="minorEastAsia" w:cs="Arial"/>
          <w:color w:val="000000" w:themeColor="text1"/>
          <w:szCs w:val="22"/>
        </w:rPr>
        <w:t>;</w:t>
      </w:r>
      <w:r w:rsidR="000D67C2">
        <w:rPr>
          <w:rFonts w:eastAsiaTheme="minorEastAsia" w:cs="Arial"/>
          <w:color w:val="000000" w:themeColor="text1"/>
          <w:szCs w:val="22"/>
        </w:rPr>
        <w:t xml:space="preserve"> beslechting (door overeenkomst of door de rechter) ervan leidt bovendien vrijwel altijd tot onder- of overcompensatie</w:t>
      </w:r>
      <w:r w:rsidR="00394952">
        <w:rPr>
          <w:rFonts w:eastAsiaTheme="minorEastAsia" w:cs="Arial"/>
          <w:color w:val="000000" w:themeColor="text1"/>
          <w:szCs w:val="22"/>
        </w:rPr>
        <w:t>.</w:t>
      </w:r>
    </w:p>
    <w:p w:rsidR="000D67C2" w:rsidRDefault="000D67C2" w:rsidP="00847DF6">
      <w:pPr>
        <w:rPr>
          <w:rFonts w:eastAsiaTheme="minorEastAsia" w:cs="Arial"/>
          <w:color w:val="000000" w:themeColor="text1"/>
          <w:szCs w:val="22"/>
        </w:rPr>
      </w:pPr>
    </w:p>
    <w:p w:rsidR="000D67C2" w:rsidRDefault="00BA6A8F" w:rsidP="00847DF6">
      <w:pPr>
        <w:rPr>
          <w:rFonts w:eastAsiaTheme="minorEastAsia" w:cs="Arial"/>
          <w:color w:val="000000" w:themeColor="text1"/>
          <w:szCs w:val="22"/>
        </w:rPr>
      </w:pPr>
      <w:r>
        <w:rPr>
          <w:rFonts w:eastAsiaTheme="minorEastAsia" w:cs="Arial"/>
          <w:color w:val="000000" w:themeColor="text1"/>
          <w:szCs w:val="22"/>
        </w:rPr>
        <w:t>H</w:t>
      </w:r>
      <w:r w:rsidR="000D67C2">
        <w:rPr>
          <w:rFonts w:eastAsiaTheme="minorEastAsia" w:cs="Arial"/>
          <w:color w:val="000000" w:themeColor="text1"/>
          <w:szCs w:val="22"/>
        </w:rPr>
        <w:t xml:space="preserve">et hiervoor geschetste probleem </w:t>
      </w:r>
      <w:r>
        <w:rPr>
          <w:rFonts w:eastAsiaTheme="minorEastAsia" w:cs="Arial"/>
          <w:color w:val="000000" w:themeColor="text1"/>
          <w:szCs w:val="22"/>
        </w:rPr>
        <w:t xml:space="preserve">is </w:t>
      </w:r>
      <w:r w:rsidR="000D67C2">
        <w:rPr>
          <w:rFonts w:eastAsiaTheme="minorEastAsia" w:cs="Arial"/>
          <w:color w:val="000000" w:themeColor="text1"/>
          <w:szCs w:val="22"/>
        </w:rPr>
        <w:t>niet alleen het gevolg van de mogelijkheid dat naasten</w:t>
      </w:r>
      <w:r>
        <w:rPr>
          <w:rFonts w:eastAsiaTheme="minorEastAsia" w:cs="Arial"/>
          <w:color w:val="000000" w:themeColor="text1"/>
          <w:szCs w:val="22"/>
        </w:rPr>
        <w:t>,</w:t>
      </w:r>
      <w:r w:rsidR="000D67C2">
        <w:rPr>
          <w:rFonts w:eastAsiaTheme="minorEastAsia" w:cs="Arial"/>
          <w:color w:val="000000" w:themeColor="text1"/>
          <w:szCs w:val="22"/>
        </w:rPr>
        <w:t xml:space="preserve"> die een hoger inkomen prijsgeven dan de kosten van professionele hulp zouden bedragen</w:t>
      </w:r>
      <w:r>
        <w:rPr>
          <w:rFonts w:eastAsiaTheme="minorEastAsia" w:cs="Arial"/>
          <w:color w:val="000000" w:themeColor="text1"/>
          <w:szCs w:val="22"/>
        </w:rPr>
        <w:t>,</w:t>
      </w:r>
      <w:r w:rsidR="000D67C2">
        <w:rPr>
          <w:rFonts w:eastAsiaTheme="minorEastAsia" w:cs="Arial"/>
          <w:color w:val="000000" w:themeColor="text1"/>
          <w:szCs w:val="22"/>
        </w:rPr>
        <w:t xml:space="preserve"> dat gemiste inkomen vergoed krijgen</w:t>
      </w:r>
      <w:r>
        <w:rPr>
          <w:rFonts w:eastAsiaTheme="minorEastAsia" w:cs="Arial"/>
          <w:color w:val="000000" w:themeColor="text1"/>
          <w:szCs w:val="22"/>
        </w:rPr>
        <w:t>. Niettemin</w:t>
      </w:r>
      <w:r w:rsidR="000D67C2">
        <w:rPr>
          <w:rFonts w:eastAsiaTheme="minorEastAsia" w:cs="Arial"/>
          <w:color w:val="000000" w:themeColor="text1"/>
          <w:szCs w:val="22"/>
        </w:rPr>
        <w:t xml:space="preserve"> vormt dit </w:t>
      </w:r>
      <w:r w:rsidR="00526729">
        <w:rPr>
          <w:rFonts w:eastAsiaTheme="minorEastAsia" w:cs="Arial"/>
          <w:color w:val="000000" w:themeColor="text1"/>
          <w:szCs w:val="22"/>
        </w:rPr>
        <w:t>element wel een soort ‘vliegwiel’ in de problematiek</w:t>
      </w:r>
      <w:r>
        <w:rPr>
          <w:rFonts w:eastAsiaTheme="minorEastAsia" w:cs="Arial"/>
          <w:color w:val="000000" w:themeColor="text1"/>
          <w:szCs w:val="22"/>
        </w:rPr>
        <w:t>, juist</w:t>
      </w:r>
      <w:r w:rsidR="00526729">
        <w:rPr>
          <w:rFonts w:eastAsiaTheme="minorEastAsia" w:cs="Arial"/>
          <w:color w:val="000000" w:themeColor="text1"/>
          <w:szCs w:val="22"/>
        </w:rPr>
        <w:t xml:space="preserve"> omdat de complexe dubbele redelijkheidstoets in combinatie met onzekerheid ten aanzien van de toekomstige ontwikkelingen, zowel aan de zijde van de gekwetste (welke zorg is nodig?) als aan die van de naaste (welk inkomen zou zijn verdiend? blijft de naaste daadwerkelijk in de zorg voorzien?), in hoge mate complice</w:t>
      </w:r>
      <w:r>
        <w:rPr>
          <w:rFonts w:eastAsiaTheme="minorEastAsia" w:cs="Arial"/>
          <w:color w:val="000000" w:themeColor="text1"/>
          <w:szCs w:val="22"/>
        </w:rPr>
        <w:t>rend werkt</w:t>
      </w:r>
      <w:r w:rsidR="00526729">
        <w:rPr>
          <w:rFonts w:eastAsiaTheme="minorEastAsia" w:cs="Arial"/>
          <w:color w:val="000000" w:themeColor="text1"/>
          <w:szCs w:val="22"/>
        </w:rPr>
        <w:t>.</w:t>
      </w:r>
      <w:r w:rsidR="002267A4">
        <w:rPr>
          <w:rStyle w:val="FootnoteReference"/>
          <w:rFonts w:eastAsiaTheme="minorEastAsia" w:cs="Arial"/>
          <w:color w:val="000000" w:themeColor="text1"/>
          <w:szCs w:val="22"/>
        </w:rPr>
        <w:footnoteReference w:id="24"/>
      </w:r>
      <w:r w:rsidR="00526729">
        <w:rPr>
          <w:rFonts w:eastAsiaTheme="minorEastAsia" w:cs="Arial"/>
          <w:color w:val="000000" w:themeColor="text1"/>
          <w:szCs w:val="22"/>
        </w:rPr>
        <w:t xml:space="preserve"> </w:t>
      </w:r>
      <w:r w:rsidR="0031326C">
        <w:rPr>
          <w:rFonts w:eastAsiaTheme="minorEastAsia" w:cs="Arial"/>
          <w:color w:val="000000" w:themeColor="text1"/>
          <w:szCs w:val="22"/>
        </w:rPr>
        <w:t>Ik vraag mij daarom af of het</w:t>
      </w:r>
      <w:r w:rsidR="000D67C2">
        <w:rPr>
          <w:rFonts w:eastAsiaTheme="minorEastAsia" w:cs="Arial"/>
          <w:color w:val="000000" w:themeColor="text1"/>
          <w:szCs w:val="22"/>
        </w:rPr>
        <w:t xml:space="preserve"> </w:t>
      </w:r>
      <w:r w:rsidR="0031326C">
        <w:rPr>
          <w:rFonts w:eastAsiaTheme="minorEastAsia" w:cs="Arial"/>
          <w:color w:val="000000" w:themeColor="text1"/>
          <w:szCs w:val="22"/>
        </w:rPr>
        <w:t>verstandig is om voor de – verre – toekomst uit te gaan van inkomensverlies van een naaste. Voor de korte termijn (</w:t>
      </w:r>
      <w:r w:rsidR="002267A4">
        <w:rPr>
          <w:rFonts w:eastAsiaTheme="minorEastAsia" w:cs="Arial"/>
          <w:color w:val="000000" w:themeColor="text1"/>
          <w:szCs w:val="22"/>
        </w:rPr>
        <w:t xml:space="preserve">bijvoorbeeld </w:t>
      </w:r>
      <w:r w:rsidR="0031326C">
        <w:rPr>
          <w:rFonts w:eastAsiaTheme="minorEastAsia" w:cs="Arial"/>
          <w:color w:val="000000" w:themeColor="text1"/>
          <w:szCs w:val="22"/>
        </w:rPr>
        <w:t xml:space="preserve">een of twee jaar na het ongeval) lijkt het me redelijk – en als gezegd zie ik daarvoor onder het huidige recht ook wel mogelijkheden – om het inkomensverlies van een naaste in de begroting te betrekken. </w:t>
      </w:r>
      <w:r w:rsidR="003F426B">
        <w:rPr>
          <w:rFonts w:eastAsiaTheme="minorEastAsia" w:cs="Arial"/>
          <w:color w:val="000000" w:themeColor="text1"/>
          <w:szCs w:val="22"/>
        </w:rPr>
        <w:t xml:space="preserve">Juist in die periode kan het redelijk zijn om bijvoorbeeld – als daartoe de mogelijkheid bestaat – onbetaald verlof op te nemen om het gezinsleven aan de nieuwe omstandigheden aan te passen. </w:t>
      </w:r>
      <w:r w:rsidR="0031326C">
        <w:rPr>
          <w:rFonts w:eastAsiaTheme="minorEastAsia" w:cs="Arial"/>
          <w:color w:val="000000" w:themeColor="text1"/>
          <w:szCs w:val="22"/>
        </w:rPr>
        <w:t xml:space="preserve">Voor de </w:t>
      </w:r>
      <w:r w:rsidR="003F426B">
        <w:rPr>
          <w:rFonts w:eastAsiaTheme="minorEastAsia" w:cs="Arial"/>
          <w:color w:val="000000" w:themeColor="text1"/>
          <w:szCs w:val="22"/>
        </w:rPr>
        <w:t>(</w:t>
      </w:r>
      <w:r w:rsidR="0031326C">
        <w:rPr>
          <w:rFonts w:eastAsiaTheme="minorEastAsia" w:cs="Arial"/>
          <w:color w:val="000000" w:themeColor="text1"/>
          <w:szCs w:val="22"/>
        </w:rPr>
        <w:t>verdere</w:t>
      </w:r>
      <w:r w:rsidR="003F426B">
        <w:rPr>
          <w:rFonts w:eastAsiaTheme="minorEastAsia" w:cs="Arial"/>
          <w:color w:val="000000" w:themeColor="text1"/>
          <w:szCs w:val="22"/>
        </w:rPr>
        <w:t>)</w:t>
      </w:r>
      <w:r w:rsidR="0031326C">
        <w:rPr>
          <w:rFonts w:eastAsiaTheme="minorEastAsia" w:cs="Arial"/>
          <w:color w:val="000000" w:themeColor="text1"/>
          <w:szCs w:val="22"/>
        </w:rPr>
        <w:t xml:space="preserve"> toekomst </w:t>
      </w:r>
      <w:r w:rsidR="008F3274">
        <w:rPr>
          <w:rFonts w:eastAsiaTheme="minorEastAsia" w:cs="Arial"/>
          <w:color w:val="000000" w:themeColor="text1"/>
          <w:szCs w:val="22"/>
        </w:rPr>
        <w:t xml:space="preserve">kan het juist </w:t>
      </w:r>
      <w:r w:rsidR="003F426B">
        <w:rPr>
          <w:rFonts w:eastAsiaTheme="minorEastAsia" w:cs="Arial"/>
          <w:color w:val="000000" w:themeColor="text1"/>
          <w:szCs w:val="22"/>
        </w:rPr>
        <w:t xml:space="preserve">verstandig, </w:t>
      </w:r>
      <w:r w:rsidR="002267A4">
        <w:rPr>
          <w:rFonts w:eastAsiaTheme="minorEastAsia" w:cs="Arial"/>
          <w:color w:val="000000" w:themeColor="text1"/>
          <w:szCs w:val="22"/>
        </w:rPr>
        <w:t>en veelal</w:t>
      </w:r>
      <w:r w:rsidR="003F426B">
        <w:rPr>
          <w:rFonts w:eastAsiaTheme="minorEastAsia" w:cs="Arial"/>
          <w:color w:val="000000" w:themeColor="text1"/>
          <w:szCs w:val="22"/>
        </w:rPr>
        <w:t xml:space="preserve"> ook </w:t>
      </w:r>
      <w:r w:rsidR="0031326C">
        <w:rPr>
          <w:rFonts w:eastAsiaTheme="minorEastAsia" w:cs="Arial"/>
          <w:color w:val="000000" w:themeColor="text1"/>
          <w:szCs w:val="22"/>
        </w:rPr>
        <w:t>redelijk</w:t>
      </w:r>
      <w:r>
        <w:rPr>
          <w:rFonts w:eastAsiaTheme="minorEastAsia" w:cs="Arial"/>
          <w:color w:val="000000" w:themeColor="text1"/>
          <w:szCs w:val="22"/>
        </w:rPr>
        <w:t>,</w:t>
      </w:r>
      <w:r w:rsidR="008F3274">
        <w:rPr>
          <w:rFonts w:eastAsiaTheme="minorEastAsia" w:cs="Arial"/>
          <w:color w:val="000000" w:themeColor="text1"/>
          <w:szCs w:val="22"/>
        </w:rPr>
        <w:t xml:space="preserve"> zijn</w:t>
      </w:r>
      <w:r w:rsidR="0031326C">
        <w:rPr>
          <w:rFonts w:eastAsiaTheme="minorEastAsia" w:cs="Arial"/>
          <w:color w:val="000000" w:themeColor="text1"/>
          <w:szCs w:val="22"/>
        </w:rPr>
        <w:t xml:space="preserve"> om uit te gaan </w:t>
      </w:r>
      <w:r w:rsidR="0031326C">
        <w:rPr>
          <w:rFonts w:eastAsiaTheme="minorEastAsia" w:cs="Arial"/>
          <w:color w:val="000000" w:themeColor="text1"/>
          <w:szCs w:val="22"/>
        </w:rPr>
        <w:lastRenderedPageBreak/>
        <w:t>van de kosten van professionele hulp.</w:t>
      </w:r>
      <w:r>
        <w:rPr>
          <w:rFonts w:eastAsiaTheme="minorEastAsia" w:cs="Arial"/>
          <w:color w:val="000000" w:themeColor="text1"/>
          <w:szCs w:val="22"/>
        </w:rPr>
        <w:t xml:space="preserve"> Ook dan lijkt me periodiek afwikkelen overigens </w:t>
      </w:r>
      <w:r w:rsidR="002267A4">
        <w:rPr>
          <w:rFonts w:eastAsiaTheme="minorEastAsia" w:cs="Arial"/>
          <w:color w:val="000000" w:themeColor="text1"/>
          <w:szCs w:val="22"/>
        </w:rPr>
        <w:t>raadzaam</w:t>
      </w:r>
      <w:r>
        <w:rPr>
          <w:rFonts w:eastAsiaTheme="minorEastAsia" w:cs="Arial"/>
          <w:color w:val="000000" w:themeColor="text1"/>
          <w:szCs w:val="22"/>
        </w:rPr>
        <w:t>.</w:t>
      </w:r>
    </w:p>
    <w:p w:rsidR="00847DF6" w:rsidRDefault="00847DF6" w:rsidP="00847DF6">
      <w:pPr>
        <w:rPr>
          <w:rFonts w:eastAsiaTheme="minorEastAsia" w:cs="Arial"/>
          <w:color w:val="000000" w:themeColor="text1"/>
          <w:szCs w:val="22"/>
        </w:rPr>
      </w:pPr>
    </w:p>
    <w:p w:rsidR="00387A4D" w:rsidRPr="00847DF6" w:rsidRDefault="00387A4D" w:rsidP="00847DF6">
      <w:pPr>
        <w:rPr>
          <w:rFonts w:eastAsiaTheme="minorEastAsia" w:cs="Arial"/>
          <w:color w:val="000000" w:themeColor="text1"/>
          <w:szCs w:val="22"/>
        </w:rPr>
      </w:pPr>
    </w:p>
    <w:p w:rsidR="00847AB4" w:rsidRPr="00387A4D" w:rsidRDefault="00387A4D" w:rsidP="00387A4D">
      <w:pPr>
        <w:pStyle w:val="ListParagraph"/>
        <w:numPr>
          <w:ilvl w:val="0"/>
          <w:numId w:val="4"/>
        </w:numPr>
        <w:rPr>
          <w:rFonts w:eastAsiaTheme="minorEastAsia" w:cs="Arial"/>
          <w:color w:val="000000" w:themeColor="text1"/>
          <w:szCs w:val="22"/>
        </w:rPr>
      </w:pPr>
      <w:r>
        <w:rPr>
          <w:rFonts w:eastAsiaTheme="minorEastAsia" w:cs="Arial"/>
          <w:color w:val="000000" w:themeColor="text1"/>
          <w:szCs w:val="22"/>
        </w:rPr>
        <w:t>Smartengeld voor naasten</w:t>
      </w:r>
    </w:p>
    <w:p w:rsidR="005E32F1" w:rsidRPr="005E32F1" w:rsidRDefault="005E32F1" w:rsidP="005E32F1">
      <w:pPr>
        <w:rPr>
          <w:rFonts w:eastAsiaTheme="minorEastAsia" w:cs="Arial"/>
          <w:color w:val="000000" w:themeColor="text1"/>
          <w:szCs w:val="22"/>
        </w:rPr>
      </w:pPr>
    </w:p>
    <w:p w:rsidR="000A2C6F" w:rsidRDefault="000A2C6F" w:rsidP="00F832D8">
      <w:pPr>
        <w:rPr>
          <w:rFonts w:eastAsiaTheme="minorEastAsia" w:cs="Arial"/>
          <w:color w:val="000000" w:themeColor="text1"/>
          <w:szCs w:val="22"/>
        </w:rPr>
      </w:pPr>
      <w:r>
        <w:rPr>
          <w:rFonts w:eastAsiaTheme="minorEastAsia" w:cs="Arial"/>
          <w:color w:val="000000" w:themeColor="text1"/>
          <w:szCs w:val="22"/>
        </w:rPr>
        <w:t xml:space="preserve">Het in de inleiding geschetste voorbeeld van vader Kruidhof illustreert treffend hoe ook naasten leed ondervinden van de kwetsing van een dierbare. Naar huidig recht komt dat niet voor vergoeding in aanmerking. Voor gevallen van overlijden van een naaste vormt Nederland daarmee intussen een van de uitzonderingen in Europa. Ten aanzien van letsel van een naaste is het beeld </w:t>
      </w:r>
      <w:r w:rsidR="000E18C5">
        <w:rPr>
          <w:rFonts w:eastAsiaTheme="minorEastAsia" w:cs="Arial"/>
          <w:color w:val="000000" w:themeColor="text1"/>
          <w:szCs w:val="22"/>
        </w:rPr>
        <w:t xml:space="preserve">in Europa </w:t>
      </w:r>
      <w:r>
        <w:rPr>
          <w:rFonts w:eastAsiaTheme="minorEastAsia" w:cs="Arial"/>
          <w:color w:val="000000" w:themeColor="text1"/>
          <w:szCs w:val="22"/>
        </w:rPr>
        <w:t>diffuser. Dat laatste is invoelbaar, omdat het (doorgaans) minder verdrietig is wanneer een naaste letsel oploopt dan wanneer hij overlijdt, omdat in dat laatste geval de relatie</w:t>
      </w:r>
      <w:r w:rsidR="000E18C5">
        <w:rPr>
          <w:rFonts w:eastAsiaTheme="minorEastAsia" w:cs="Arial"/>
          <w:color w:val="000000" w:themeColor="text1"/>
          <w:szCs w:val="22"/>
        </w:rPr>
        <w:t xml:space="preserve"> geheel</w:t>
      </w:r>
      <w:r>
        <w:rPr>
          <w:rFonts w:eastAsiaTheme="minorEastAsia" w:cs="Arial"/>
          <w:color w:val="000000" w:themeColor="text1"/>
          <w:szCs w:val="22"/>
        </w:rPr>
        <w:t xml:space="preserve"> wordt verbroken. In bepaalde gevallen – van </w:t>
      </w:r>
      <w:r w:rsidR="003F426B">
        <w:rPr>
          <w:rFonts w:eastAsiaTheme="minorEastAsia" w:cs="Arial"/>
          <w:color w:val="000000" w:themeColor="text1"/>
          <w:szCs w:val="22"/>
        </w:rPr>
        <w:t xml:space="preserve">bepaald </w:t>
      </w:r>
      <w:r>
        <w:rPr>
          <w:rFonts w:eastAsiaTheme="minorEastAsia" w:cs="Arial"/>
          <w:color w:val="000000" w:themeColor="text1"/>
          <w:szCs w:val="22"/>
        </w:rPr>
        <w:t>zeer ernstig letsel – wordt niettemin de verhouding tussen de gekwetste en diens naaste ook blijvend ernstig beïnvloed. Om die reden, en dus ook beperkt tot die gevallen, voorziet het voorstel (ook) in een smartengeld voor naasten van blijvend ernstig gekwetsten.</w:t>
      </w:r>
    </w:p>
    <w:p w:rsidR="000A2C6F" w:rsidRDefault="000A2C6F" w:rsidP="00F832D8">
      <w:pPr>
        <w:rPr>
          <w:rFonts w:eastAsiaTheme="minorEastAsia" w:cs="Arial"/>
          <w:color w:val="000000" w:themeColor="text1"/>
          <w:szCs w:val="22"/>
        </w:rPr>
      </w:pPr>
    </w:p>
    <w:p w:rsidR="00F832D8" w:rsidRDefault="000A2C6F" w:rsidP="00F832D8">
      <w:pPr>
        <w:rPr>
          <w:rFonts w:eastAsiaTheme="minorEastAsia" w:cs="Arial"/>
          <w:color w:val="000000" w:themeColor="text1"/>
          <w:szCs w:val="22"/>
        </w:rPr>
      </w:pPr>
      <w:r>
        <w:rPr>
          <w:rFonts w:eastAsiaTheme="minorEastAsia" w:cs="Arial"/>
          <w:color w:val="000000" w:themeColor="text1"/>
          <w:szCs w:val="22"/>
        </w:rPr>
        <w:t>Dat naasten aldus een aanspraak op smartengeld toekomt</w:t>
      </w:r>
      <w:r w:rsidR="000E18C5">
        <w:rPr>
          <w:rFonts w:eastAsiaTheme="minorEastAsia" w:cs="Arial"/>
          <w:color w:val="000000" w:themeColor="text1"/>
          <w:szCs w:val="22"/>
        </w:rPr>
        <w:t>,</w:t>
      </w:r>
      <w:r>
        <w:rPr>
          <w:rFonts w:eastAsiaTheme="minorEastAsia" w:cs="Arial"/>
          <w:color w:val="000000" w:themeColor="text1"/>
          <w:szCs w:val="22"/>
        </w:rPr>
        <w:t xml:space="preserve"> is een principiële keuze. In het verleden is die anders gemaakt, maar </w:t>
      </w:r>
      <w:r w:rsidR="000E18C5">
        <w:rPr>
          <w:rFonts w:eastAsiaTheme="minorEastAsia" w:cs="Arial"/>
          <w:color w:val="000000" w:themeColor="text1"/>
          <w:szCs w:val="22"/>
        </w:rPr>
        <w:t>de – recent hernieuwde</w:t>
      </w:r>
      <w:r w:rsidR="000E18C5">
        <w:rPr>
          <w:rStyle w:val="FootnoteReference"/>
          <w:rFonts w:eastAsiaTheme="minorEastAsia" w:cs="Arial"/>
          <w:color w:val="000000" w:themeColor="text1"/>
          <w:szCs w:val="22"/>
        </w:rPr>
        <w:footnoteReference w:id="25"/>
      </w:r>
      <w:r w:rsidR="000E18C5">
        <w:rPr>
          <w:rFonts w:eastAsiaTheme="minorEastAsia" w:cs="Arial"/>
          <w:color w:val="000000" w:themeColor="text1"/>
          <w:szCs w:val="22"/>
        </w:rPr>
        <w:t xml:space="preserve"> – afwijzing van een dergelijke aanspraak kan mijns inziens</w:t>
      </w:r>
      <w:r w:rsidR="002267A4">
        <w:rPr>
          <w:rStyle w:val="FootnoteReference"/>
          <w:rFonts w:eastAsiaTheme="minorEastAsia" w:cs="Arial"/>
          <w:color w:val="000000" w:themeColor="text1"/>
          <w:szCs w:val="22"/>
        </w:rPr>
        <w:footnoteReference w:id="26"/>
      </w:r>
      <w:r w:rsidR="000E18C5">
        <w:rPr>
          <w:rFonts w:eastAsiaTheme="minorEastAsia" w:cs="Arial"/>
          <w:color w:val="000000" w:themeColor="text1"/>
          <w:szCs w:val="22"/>
        </w:rPr>
        <w:t>, en in elk geval wat mij betreft, op steeds minder begrip rekenen. D</w:t>
      </w:r>
      <w:r w:rsidR="00613312">
        <w:rPr>
          <w:rFonts w:eastAsiaTheme="minorEastAsia" w:cs="Arial"/>
          <w:color w:val="000000" w:themeColor="text1"/>
          <w:szCs w:val="22"/>
        </w:rPr>
        <w:t>ie opinie</w:t>
      </w:r>
      <w:r w:rsidR="000E18C5">
        <w:rPr>
          <w:rFonts w:eastAsiaTheme="minorEastAsia" w:cs="Arial"/>
          <w:color w:val="000000" w:themeColor="text1"/>
          <w:szCs w:val="22"/>
        </w:rPr>
        <w:t xml:space="preserve"> wordt gesteund door empirisch materiaal waaruit blijkt hoe zinvol een financiële erkenning voor nabestaanden en naasten van een zeer ernstig gewonde kan zijn.</w:t>
      </w:r>
      <w:r w:rsidR="003F426B">
        <w:rPr>
          <w:rStyle w:val="FootnoteReference"/>
          <w:rFonts w:eastAsiaTheme="minorEastAsia" w:cs="Arial"/>
          <w:color w:val="000000" w:themeColor="text1"/>
          <w:szCs w:val="22"/>
        </w:rPr>
        <w:footnoteReference w:id="27"/>
      </w:r>
      <w:r w:rsidR="000E18C5">
        <w:rPr>
          <w:rFonts w:eastAsiaTheme="minorEastAsia" w:cs="Arial"/>
          <w:color w:val="000000" w:themeColor="text1"/>
          <w:szCs w:val="22"/>
        </w:rPr>
        <w:t xml:space="preserve"> </w:t>
      </w:r>
    </w:p>
    <w:p w:rsidR="000E18C5" w:rsidRDefault="000E18C5" w:rsidP="00F832D8">
      <w:pPr>
        <w:rPr>
          <w:rFonts w:eastAsiaTheme="minorEastAsia" w:cs="Arial"/>
          <w:color w:val="000000" w:themeColor="text1"/>
          <w:szCs w:val="22"/>
        </w:rPr>
      </w:pPr>
    </w:p>
    <w:p w:rsidR="000E18C5" w:rsidRDefault="000E18C5" w:rsidP="00F832D8">
      <w:pPr>
        <w:rPr>
          <w:rFonts w:eastAsiaTheme="minorEastAsia" w:cs="Arial"/>
          <w:color w:val="000000" w:themeColor="text1"/>
          <w:szCs w:val="22"/>
        </w:rPr>
      </w:pPr>
      <w:r>
        <w:rPr>
          <w:rFonts w:eastAsiaTheme="minorEastAsia" w:cs="Arial"/>
          <w:color w:val="000000" w:themeColor="text1"/>
          <w:szCs w:val="22"/>
        </w:rPr>
        <w:t>Omdat financiële erkenning van een immense schade met een tot op zekere hoogte symbolisch bedrag iets paradoxaals</w:t>
      </w:r>
      <w:r>
        <w:rPr>
          <w:rStyle w:val="FootnoteReference"/>
          <w:rFonts w:eastAsiaTheme="minorEastAsia" w:cs="Arial"/>
          <w:color w:val="000000" w:themeColor="text1"/>
          <w:szCs w:val="22"/>
        </w:rPr>
        <w:footnoteReference w:id="28"/>
      </w:r>
      <w:r>
        <w:rPr>
          <w:rFonts w:eastAsiaTheme="minorEastAsia" w:cs="Arial"/>
          <w:color w:val="000000" w:themeColor="text1"/>
          <w:szCs w:val="22"/>
        </w:rPr>
        <w:t xml:space="preserve"> heeft, is er natuurlijk kritiek mogelijk op de voorgestelde omvang van de bedragen en op de in het voorstel gekozen differentiatie.</w:t>
      </w:r>
      <w:r w:rsidR="003F426B">
        <w:rPr>
          <w:rStyle w:val="FootnoteReference"/>
          <w:rFonts w:eastAsiaTheme="minorEastAsia" w:cs="Arial"/>
          <w:color w:val="000000" w:themeColor="text1"/>
          <w:szCs w:val="22"/>
        </w:rPr>
        <w:footnoteReference w:id="29"/>
      </w:r>
      <w:r>
        <w:rPr>
          <w:rFonts w:eastAsiaTheme="minorEastAsia" w:cs="Arial"/>
          <w:color w:val="000000" w:themeColor="text1"/>
          <w:szCs w:val="22"/>
        </w:rPr>
        <w:t xml:space="preserve"> Vergelijking met de bedragen en differentiatie daarin bij onze zuiderburen laat </w:t>
      </w:r>
      <w:r w:rsidR="002267A4">
        <w:rPr>
          <w:rFonts w:eastAsiaTheme="minorEastAsia" w:cs="Arial"/>
          <w:color w:val="000000" w:themeColor="text1"/>
          <w:szCs w:val="22"/>
        </w:rPr>
        <w:t>evenwel</w:t>
      </w:r>
      <w:r>
        <w:rPr>
          <w:rFonts w:eastAsiaTheme="minorEastAsia" w:cs="Arial"/>
          <w:color w:val="000000" w:themeColor="text1"/>
          <w:szCs w:val="22"/>
        </w:rPr>
        <w:t xml:space="preserve"> zien dat daar </w:t>
      </w:r>
      <w:r w:rsidR="002267A4">
        <w:rPr>
          <w:rFonts w:eastAsiaTheme="minorEastAsia" w:cs="Arial"/>
          <w:color w:val="000000" w:themeColor="text1"/>
          <w:szCs w:val="22"/>
        </w:rPr>
        <w:t xml:space="preserve">in de praktijk </w:t>
      </w:r>
      <w:r>
        <w:rPr>
          <w:rFonts w:eastAsiaTheme="minorEastAsia" w:cs="Arial"/>
          <w:color w:val="000000" w:themeColor="text1"/>
          <w:szCs w:val="22"/>
        </w:rPr>
        <w:t>heel wel mee valt te leven.</w:t>
      </w:r>
      <w:r>
        <w:rPr>
          <w:rStyle w:val="FootnoteReference"/>
          <w:rFonts w:eastAsiaTheme="minorEastAsia" w:cs="Arial"/>
          <w:color w:val="000000" w:themeColor="text1"/>
          <w:szCs w:val="22"/>
        </w:rPr>
        <w:footnoteReference w:id="30"/>
      </w:r>
    </w:p>
    <w:p w:rsidR="000E18C5" w:rsidRDefault="000E18C5" w:rsidP="00F832D8">
      <w:pPr>
        <w:rPr>
          <w:rFonts w:eastAsiaTheme="minorEastAsia" w:cs="Arial"/>
          <w:color w:val="000000" w:themeColor="text1"/>
          <w:szCs w:val="22"/>
        </w:rPr>
      </w:pPr>
    </w:p>
    <w:p w:rsidR="000E18C5" w:rsidRDefault="000E18C5" w:rsidP="00F832D8">
      <w:pPr>
        <w:rPr>
          <w:rFonts w:eastAsiaTheme="minorEastAsia" w:cs="Arial"/>
          <w:color w:val="000000" w:themeColor="text1"/>
          <w:szCs w:val="22"/>
        </w:rPr>
      </w:pPr>
      <w:r>
        <w:rPr>
          <w:rFonts w:eastAsiaTheme="minorEastAsia" w:cs="Arial"/>
          <w:color w:val="000000" w:themeColor="text1"/>
          <w:szCs w:val="22"/>
        </w:rPr>
        <w:t>De afbakening van het begrip blijvend ernstig letsel is natuurlijk complex.</w:t>
      </w:r>
      <w:r w:rsidR="00B51A47">
        <w:rPr>
          <w:rStyle w:val="FootnoteReference"/>
          <w:rFonts w:eastAsiaTheme="minorEastAsia" w:cs="Arial"/>
          <w:color w:val="000000" w:themeColor="text1"/>
          <w:szCs w:val="22"/>
        </w:rPr>
        <w:footnoteReference w:id="31"/>
      </w:r>
      <w:r w:rsidR="00923D8F">
        <w:rPr>
          <w:rFonts w:eastAsiaTheme="minorEastAsia" w:cs="Arial"/>
          <w:color w:val="000000" w:themeColor="text1"/>
          <w:szCs w:val="22"/>
        </w:rPr>
        <w:t xml:space="preserve"> De toelichting benadrukt dat de ernst vooral moet worden gezocht in de betekenis van het letsel voor het onderhouden van de relatie met de gekwetste. Hiervoor merkte ik al op dat eventuele vermogensschade als gevolg van begeleiding of therapie van naasten mijns inziens kan worden aangemerkt als kosten ter beperking van schade van de gekwetste </w:t>
      </w:r>
      <w:r w:rsidR="00923D8F">
        <w:rPr>
          <w:rFonts w:eastAsiaTheme="minorEastAsia" w:cs="Arial"/>
          <w:color w:val="000000" w:themeColor="text1"/>
          <w:szCs w:val="22"/>
        </w:rPr>
        <w:lastRenderedPageBreak/>
        <w:t>en uit dien hoofde voor vergoeding in aanmerking k</w:t>
      </w:r>
      <w:r w:rsidR="002267A4">
        <w:rPr>
          <w:rFonts w:eastAsiaTheme="minorEastAsia" w:cs="Arial"/>
          <w:color w:val="000000" w:themeColor="text1"/>
          <w:szCs w:val="22"/>
        </w:rPr>
        <w:t>an k</w:t>
      </w:r>
      <w:r w:rsidR="00923D8F">
        <w:rPr>
          <w:rFonts w:eastAsiaTheme="minorEastAsia" w:cs="Arial"/>
          <w:color w:val="000000" w:themeColor="text1"/>
          <w:szCs w:val="22"/>
        </w:rPr>
        <w:t>om</w:t>
      </w:r>
      <w:r w:rsidR="002267A4">
        <w:rPr>
          <w:rFonts w:eastAsiaTheme="minorEastAsia" w:cs="Arial"/>
          <w:color w:val="000000" w:themeColor="text1"/>
          <w:szCs w:val="22"/>
        </w:rPr>
        <w:t>en</w:t>
      </w:r>
      <w:r w:rsidR="00923D8F">
        <w:rPr>
          <w:rFonts w:eastAsiaTheme="minorEastAsia" w:cs="Arial"/>
          <w:color w:val="000000" w:themeColor="text1"/>
          <w:szCs w:val="22"/>
        </w:rPr>
        <w:t>. Dat geldt in gevallen van ernstig en blijvend letsel waar het voorstel op doelt, maar mijns inziens kan dat ook gelden in gevallen waarin het letsel minder ernstig is of niet (zeker) blijvend van aard is. Ik denk – als gezegd – aan gevallen van seksueel misbruik van kinderen.</w:t>
      </w:r>
      <w:r>
        <w:rPr>
          <w:rFonts w:eastAsiaTheme="minorEastAsia" w:cs="Arial"/>
          <w:color w:val="000000" w:themeColor="text1"/>
          <w:szCs w:val="22"/>
        </w:rPr>
        <w:t xml:space="preserve"> </w:t>
      </w:r>
      <w:r w:rsidR="00923D8F">
        <w:rPr>
          <w:rFonts w:eastAsiaTheme="minorEastAsia" w:cs="Arial"/>
          <w:color w:val="000000" w:themeColor="text1"/>
          <w:szCs w:val="22"/>
        </w:rPr>
        <w:t xml:space="preserve">Juist in die gevallen dient mijns inziens te worden voorkomen dat ouders (verder) </w:t>
      </w:r>
      <w:r w:rsidR="00BA6A8F">
        <w:rPr>
          <w:rFonts w:eastAsiaTheme="minorEastAsia" w:cs="Arial"/>
          <w:color w:val="000000" w:themeColor="text1"/>
          <w:szCs w:val="22"/>
        </w:rPr>
        <w:t xml:space="preserve">psychisch </w:t>
      </w:r>
      <w:r w:rsidR="00923D8F">
        <w:rPr>
          <w:rFonts w:eastAsiaTheme="minorEastAsia" w:cs="Arial"/>
          <w:color w:val="000000" w:themeColor="text1"/>
          <w:szCs w:val="22"/>
        </w:rPr>
        <w:t>geïnvalideerd</w:t>
      </w:r>
      <w:r w:rsidR="00F8597C">
        <w:rPr>
          <w:rFonts w:eastAsiaTheme="minorEastAsia" w:cs="Arial"/>
          <w:color w:val="000000" w:themeColor="text1"/>
          <w:szCs w:val="22"/>
        </w:rPr>
        <w:t xml:space="preserve"> raken</w:t>
      </w:r>
      <w:r w:rsidR="00923D8F">
        <w:rPr>
          <w:rFonts w:eastAsiaTheme="minorEastAsia" w:cs="Arial"/>
          <w:color w:val="000000" w:themeColor="text1"/>
          <w:szCs w:val="22"/>
        </w:rPr>
        <w:t>.</w:t>
      </w:r>
      <w:r w:rsidR="00F8597C">
        <w:rPr>
          <w:rFonts w:eastAsiaTheme="minorEastAsia" w:cs="Arial"/>
          <w:color w:val="000000" w:themeColor="text1"/>
          <w:szCs w:val="22"/>
        </w:rPr>
        <w:t xml:space="preserve"> Dat zij (daarnaast) geen eigen aanspraak op smartengeld hebben, lijkt mij niet bezwaarlijk: zij zullen er vooral belang bij hebben dat adequaat in de</w:t>
      </w:r>
      <w:r w:rsidR="004C3B5B">
        <w:rPr>
          <w:rFonts w:eastAsiaTheme="minorEastAsia" w:cs="Arial"/>
          <w:color w:val="000000" w:themeColor="text1"/>
          <w:szCs w:val="22"/>
        </w:rPr>
        <w:t xml:space="preserve"> door het onrechtmatig handelen ontstane</w:t>
      </w:r>
      <w:r w:rsidR="00F8597C">
        <w:rPr>
          <w:rFonts w:eastAsiaTheme="minorEastAsia" w:cs="Arial"/>
          <w:color w:val="000000" w:themeColor="text1"/>
          <w:szCs w:val="22"/>
        </w:rPr>
        <w:t xml:space="preserve"> noden van hun kind wordt voorzien.</w:t>
      </w:r>
    </w:p>
    <w:p w:rsidR="00387A4D" w:rsidRDefault="00387A4D" w:rsidP="00F832D8">
      <w:pPr>
        <w:rPr>
          <w:rFonts w:eastAsiaTheme="minorEastAsia" w:cs="Arial"/>
          <w:color w:val="000000" w:themeColor="text1"/>
          <w:szCs w:val="22"/>
        </w:rPr>
      </w:pPr>
    </w:p>
    <w:p w:rsidR="00387A4D" w:rsidRPr="005E32F1" w:rsidRDefault="00387A4D" w:rsidP="00F832D8">
      <w:pPr>
        <w:rPr>
          <w:rFonts w:eastAsiaTheme="minorEastAsia" w:cs="Arial"/>
          <w:color w:val="000000" w:themeColor="text1"/>
          <w:szCs w:val="22"/>
        </w:rPr>
      </w:pPr>
    </w:p>
    <w:p w:rsidR="00F832D8" w:rsidRDefault="00387A4D" w:rsidP="00387A4D">
      <w:pPr>
        <w:pStyle w:val="ListParagraph"/>
        <w:numPr>
          <w:ilvl w:val="0"/>
          <w:numId w:val="2"/>
        </w:numPr>
        <w:rPr>
          <w:rFonts w:eastAsiaTheme="minorEastAsia" w:cs="Arial"/>
          <w:color w:val="000000" w:themeColor="text1"/>
          <w:szCs w:val="22"/>
        </w:rPr>
      </w:pPr>
      <w:r>
        <w:rPr>
          <w:rFonts w:eastAsiaTheme="minorEastAsia" w:cs="Arial"/>
          <w:color w:val="000000" w:themeColor="text1"/>
          <w:szCs w:val="22"/>
        </w:rPr>
        <w:t>Besluit</w:t>
      </w:r>
    </w:p>
    <w:p w:rsidR="00387A4D" w:rsidRDefault="00387A4D" w:rsidP="00387A4D">
      <w:pPr>
        <w:rPr>
          <w:rFonts w:eastAsiaTheme="minorEastAsia" w:cs="Arial"/>
          <w:color w:val="000000" w:themeColor="text1"/>
          <w:szCs w:val="22"/>
        </w:rPr>
      </w:pPr>
    </w:p>
    <w:p w:rsidR="00493DBD" w:rsidRDefault="0090743F" w:rsidP="00B602A3">
      <w:pPr>
        <w:rPr>
          <w:rFonts w:eastAsiaTheme="minorEastAsia" w:cs="Arial"/>
          <w:color w:val="000000" w:themeColor="text1"/>
          <w:szCs w:val="22"/>
        </w:rPr>
      </w:pPr>
      <w:r>
        <w:rPr>
          <w:rFonts w:eastAsiaTheme="minorEastAsia" w:cs="Arial"/>
          <w:color w:val="000000" w:themeColor="text1"/>
          <w:szCs w:val="22"/>
        </w:rPr>
        <w:t xml:space="preserve">In deze bijdrage is in het licht van het Kruidhofarrest en het voorliggende consultatievoorstel </w:t>
      </w:r>
      <w:r w:rsidR="005518CC">
        <w:rPr>
          <w:rFonts w:eastAsiaTheme="minorEastAsia" w:cs="Arial"/>
          <w:color w:val="000000" w:themeColor="text1"/>
          <w:szCs w:val="22"/>
        </w:rPr>
        <w:t>verkend</w:t>
      </w:r>
      <w:r>
        <w:rPr>
          <w:rFonts w:eastAsiaTheme="minorEastAsia" w:cs="Arial"/>
          <w:color w:val="000000" w:themeColor="text1"/>
          <w:szCs w:val="22"/>
        </w:rPr>
        <w:t xml:space="preserve"> welke mogelijkheden het bestaande recht biedt om in de behoeften van de gekwetste en diens naasten te voorzien</w:t>
      </w:r>
      <w:r w:rsidR="001F675A">
        <w:rPr>
          <w:rFonts w:eastAsiaTheme="minorEastAsia" w:cs="Arial"/>
          <w:color w:val="000000" w:themeColor="text1"/>
          <w:szCs w:val="22"/>
        </w:rPr>
        <w:t>,</w:t>
      </w:r>
      <w:r w:rsidR="00D2701B">
        <w:rPr>
          <w:rFonts w:eastAsiaTheme="minorEastAsia" w:cs="Arial"/>
          <w:color w:val="000000" w:themeColor="text1"/>
          <w:szCs w:val="22"/>
        </w:rPr>
        <w:t xml:space="preserve"> en wat het consultatievoorstel daaraan toevoegt</w:t>
      </w:r>
      <w:r w:rsidR="001F675A">
        <w:rPr>
          <w:rFonts w:eastAsiaTheme="minorEastAsia" w:cs="Arial"/>
          <w:color w:val="000000" w:themeColor="text1"/>
          <w:szCs w:val="22"/>
        </w:rPr>
        <w:t>.</w:t>
      </w:r>
    </w:p>
    <w:p w:rsidR="00493DBD" w:rsidRDefault="00493DBD" w:rsidP="00B602A3">
      <w:pPr>
        <w:rPr>
          <w:rFonts w:eastAsiaTheme="minorEastAsia" w:cs="Arial"/>
          <w:color w:val="000000" w:themeColor="text1"/>
          <w:szCs w:val="22"/>
        </w:rPr>
      </w:pPr>
    </w:p>
    <w:p w:rsidR="00B602A3" w:rsidRDefault="00B602A3" w:rsidP="00B602A3">
      <w:pPr>
        <w:rPr>
          <w:rFonts w:eastAsiaTheme="minorEastAsia" w:cs="Arial"/>
          <w:color w:val="000000" w:themeColor="text1"/>
          <w:szCs w:val="22"/>
        </w:rPr>
      </w:pPr>
      <w:r>
        <w:rPr>
          <w:rFonts w:eastAsiaTheme="minorEastAsia" w:cs="Arial"/>
          <w:color w:val="000000" w:themeColor="text1"/>
          <w:szCs w:val="22"/>
        </w:rPr>
        <w:t xml:space="preserve">Het consultatievoorstel vertrekt </w:t>
      </w:r>
      <w:r w:rsidR="007E45B2">
        <w:rPr>
          <w:rFonts w:eastAsiaTheme="minorEastAsia" w:cs="Arial"/>
          <w:color w:val="000000" w:themeColor="text1"/>
          <w:szCs w:val="22"/>
        </w:rPr>
        <w:t>– t</w:t>
      </w:r>
      <w:r>
        <w:rPr>
          <w:rFonts w:eastAsiaTheme="minorEastAsia" w:cs="Arial"/>
          <w:color w:val="000000" w:themeColor="text1"/>
          <w:szCs w:val="22"/>
        </w:rPr>
        <w:t xml:space="preserve">erecht </w:t>
      </w:r>
      <w:r w:rsidR="007E45B2">
        <w:rPr>
          <w:rFonts w:eastAsiaTheme="minorEastAsia" w:cs="Arial"/>
          <w:color w:val="000000" w:themeColor="text1"/>
          <w:szCs w:val="22"/>
        </w:rPr>
        <w:t>– v</w:t>
      </w:r>
      <w:r>
        <w:rPr>
          <w:rFonts w:eastAsiaTheme="minorEastAsia" w:cs="Arial"/>
          <w:color w:val="000000" w:themeColor="text1"/>
          <w:szCs w:val="22"/>
        </w:rPr>
        <w:t xml:space="preserve">anuit het perspectief van de gekwetste en beschouwt de aanspraken van naasten in verband met begeleiding, verpleging en verzorging terecht als afgeleiden daarvan. Goed beschouwd biedt ook het huidige recht </w:t>
      </w:r>
      <w:r w:rsidR="00493DBD">
        <w:rPr>
          <w:rFonts w:eastAsiaTheme="minorEastAsia" w:cs="Arial"/>
          <w:color w:val="000000" w:themeColor="text1"/>
          <w:szCs w:val="22"/>
        </w:rPr>
        <w:t xml:space="preserve">overigens </w:t>
      </w:r>
      <w:r>
        <w:rPr>
          <w:rFonts w:eastAsiaTheme="minorEastAsia" w:cs="Arial"/>
          <w:color w:val="000000" w:themeColor="text1"/>
          <w:szCs w:val="22"/>
        </w:rPr>
        <w:t>al wel aanknopingspunten om meer schades te zien als schade van de gekwetste dan als eigen schade van derden. Zelfs kosten van therapeutische behandeling van een naaste van een gekwetste kunnen in die sleutel worden geplaatst.</w:t>
      </w:r>
      <w:r w:rsidR="00E4608F">
        <w:rPr>
          <w:rFonts w:eastAsiaTheme="minorEastAsia" w:cs="Arial"/>
          <w:color w:val="000000" w:themeColor="text1"/>
          <w:szCs w:val="22"/>
        </w:rPr>
        <w:t xml:space="preserve"> En hoewel verdedigbaar is dat ook naar huidig recht onder omstandigheden al een aanspraak bestaat op vergoeding van kosten ter zake van mantelzorg die de kosten van professionele hulp overstijgen, stelt het consultatievoorstel dat buiten twijfel.</w:t>
      </w:r>
      <w:r w:rsidR="00493DBD">
        <w:rPr>
          <w:rFonts w:eastAsiaTheme="minorEastAsia" w:cs="Arial"/>
          <w:color w:val="000000" w:themeColor="text1"/>
          <w:szCs w:val="22"/>
        </w:rPr>
        <w:t xml:space="preserve"> Daarnaast voorziet het in een erkenning van het leed dat naasten en nabestaanden ondervinden. Aldus versterkt het consultatievoorstel de positie van gekwetsten en hun naasten onmiskenbaar.</w:t>
      </w:r>
    </w:p>
    <w:p w:rsidR="00B602A3" w:rsidRDefault="00B602A3" w:rsidP="00B602A3">
      <w:pPr>
        <w:rPr>
          <w:rFonts w:eastAsiaTheme="minorEastAsia" w:cs="Arial"/>
          <w:color w:val="000000" w:themeColor="text1"/>
          <w:szCs w:val="22"/>
        </w:rPr>
      </w:pPr>
    </w:p>
    <w:p w:rsidR="00811972" w:rsidRDefault="0036110F" w:rsidP="00387A4D">
      <w:pPr>
        <w:rPr>
          <w:rFonts w:eastAsiaTheme="minorEastAsia" w:cs="Arial"/>
          <w:color w:val="000000" w:themeColor="text1"/>
          <w:szCs w:val="22"/>
        </w:rPr>
      </w:pPr>
      <w:r>
        <w:rPr>
          <w:rFonts w:eastAsiaTheme="minorEastAsia" w:cs="Arial"/>
          <w:color w:val="000000" w:themeColor="text1"/>
          <w:szCs w:val="22"/>
        </w:rPr>
        <w:t>Kijkt men terug, dan</w:t>
      </w:r>
      <w:r w:rsidR="00493DBD">
        <w:rPr>
          <w:rFonts w:eastAsiaTheme="minorEastAsia" w:cs="Arial"/>
          <w:color w:val="000000" w:themeColor="text1"/>
          <w:szCs w:val="22"/>
        </w:rPr>
        <w:t xml:space="preserve"> is het Kruidhofarrest een belangrijke aanjager geweest voor de </w:t>
      </w:r>
      <w:r>
        <w:rPr>
          <w:rFonts w:eastAsiaTheme="minorEastAsia" w:cs="Arial"/>
          <w:color w:val="000000" w:themeColor="text1"/>
          <w:szCs w:val="22"/>
        </w:rPr>
        <w:t xml:space="preserve">materieelrechtelijke </w:t>
      </w:r>
      <w:r w:rsidR="00493DBD">
        <w:rPr>
          <w:rFonts w:eastAsiaTheme="minorEastAsia" w:cs="Arial"/>
          <w:color w:val="000000" w:themeColor="text1"/>
          <w:szCs w:val="22"/>
        </w:rPr>
        <w:t>ver</w:t>
      </w:r>
      <w:r>
        <w:rPr>
          <w:rFonts w:eastAsiaTheme="minorEastAsia" w:cs="Arial"/>
          <w:color w:val="000000" w:themeColor="text1"/>
          <w:szCs w:val="22"/>
        </w:rPr>
        <w:t>sterking</w:t>
      </w:r>
      <w:r w:rsidR="00493DBD">
        <w:rPr>
          <w:rFonts w:eastAsiaTheme="minorEastAsia" w:cs="Arial"/>
          <w:color w:val="000000" w:themeColor="text1"/>
          <w:szCs w:val="22"/>
        </w:rPr>
        <w:t xml:space="preserve"> van de positie van de gekwetste en diens naasten. Het arrest </w:t>
      </w:r>
      <w:r>
        <w:rPr>
          <w:rFonts w:eastAsiaTheme="minorEastAsia" w:cs="Arial"/>
          <w:color w:val="000000" w:themeColor="text1"/>
          <w:szCs w:val="22"/>
        </w:rPr>
        <w:t xml:space="preserve">is evenwel ook om een andere reden baanbrekend. </w:t>
      </w:r>
      <w:r w:rsidR="0090743F">
        <w:rPr>
          <w:rFonts w:eastAsiaTheme="minorEastAsia" w:cs="Arial"/>
          <w:color w:val="000000" w:themeColor="text1"/>
          <w:szCs w:val="22"/>
        </w:rPr>
        <w:t xml:space="preserve">Door </w:t>
      </w:r>
      <w:r w:rsidR="00B602A3">
        <w:rPr>
          <w:rFonts w:eastAsiaTheme="minorEastAsia" w:cs="Arial"/>
          <w:color w:val="000000" w:themeColor="text1"/>
          <w:szCs w:val="22"/>
        </w:rPr>
        <w:t xml:space="preserve">in het Kruidhofarrest </w:t>
      </w:r>
      <w:r w:rsidR="0090743F">
        <w:rPr>
          <w:rFonts w:eastAsiaTheme="minorEastAsia" w:cs="Arial"/>
          <w:color w:val="000000" w:themeColor="text1"/>
          <w:szCs w:val="22"/>
        </w:rPr>
        <w:t>voorop te plaatsen dat de aansprakelijke van aanvang af aan zet is om</w:t>
      </w:r>
      <w:r w:rsidR="007E45B2">
        <w:rPr>
          <w:rFonts w:eastAsiaTheme="minorEastAsia" w:cs="Arial"/>
          <w:color w:val="000000" w:themeColor="text1"/>
          <w:szCs w:val="22"/>
        </w:rPr>
        <w:t xml:space="preserve"> te voorzien in </w:t>
      </w:r>
      <w:r w:rsidR="0090743F">
        <w:rPr>
          <w:rFonts w:eastAsiaTheme="minorEastAsia" w:cs="Arial"/>
          <w:color w:val="000000" w:themeColor="text1"/>
          <w:szCs w:val="22"/>
        </w:rPr>
        <w:t>de door zijn handelen ontstane behoeften van de be</w:t>
      </w:r>
      <w:r w:rsidR="005518CC">
        <w:rPr>
          <w:rFonts w:eastAsiaTheme="minorEastAsia" w:cs="Arial"/>
          <w:color w:val="000000" w:themeColor="text1"/>
          <w:szCs w:val="22"/>
        </w:rPr>
        <w:t xml:space="preserve">nadeelde, heeft de Hoge Raad het voor herstel zo belangrijke ex ante perspectief benadrukt. </w:t>
      </w:r>
      <w:r w:rsidR="001F675A">
        <w:rPr>
          <w:rFonts w:eastAsiaTheme="minorEastAsia" w:cs="Arial"/>
          <w:color w:val="000000" w:themeColor="text1"/>
          <w:szCs w:val="22"/>
        </w:rPr>
        <w:t>De</w:t>
      </w:r>
      <w:r w:rsidR="00E4608F">
        <w:rPr>
          <w:rFonts w:eastAsiaTheme="minorEastAsia" w:cs="Arial"/>
          <w:color w:val="000000" w:themeColor="text1"/>
          <w:szCs w:val="22"/>
        </w:rPr>
        <w:t xml:space="preserve"> individuele</w:t>
      </w:r>
      <w:r w:rsidR="001F675A">
        <w:rPr>
          <w:rFonts w:eastAsiaTheme="minorEastAsia" w:cs="Arial"/>
          <w:color w:val="000000" w:themeColor="text1"/>
          <w:szCs w:val="22"/>
        </w:rPr>
        <w:t xml:space="preserve"> ervaringen van de betrokkenen uit het Kruidhofarrest illustreren </w:t>
      </w:r>
      <w:r w:rsidR="00E4608F">
        <w:rPr>
          <w:rFonts w:eastAsiaTheme="minorEastAsia" w:cs="Arial"/>
          <w:color w:val="000000" w:themeColor="text1"/>
          <w:szCs w:val="22"/>
        </w:rPr>
        <w:t>krachtig</w:t>
      </w:r>
      <w:r w:rsidR="001F675A">
        <w:rPr>
          <w:rFonts w:eastAsiaTheme="minorEastAsia" w:cs="Arial"/>
          <w:color w:val="000000" w:themeColor="text1"/>
          <w:szCs w:val="22"/>
        </w:rPr>
        <w:t xml:space="preserve"> hoe belangrijk dat is: zij worden ineens geconfronteerd met een noodsituatie en voor hen is het cruciaal dat het aansprakelijkheidsrecht</w:t>
      </w:r>
      <w:r w:rsidR="00E4608F">
        <w:rPr>
          <w:rFonts w:eastAsiaTheme="minorEastAsia" w:cs="Arial"/>
          <w:color w:val="000000" w:themeColor="text1"/>
          <w:szCs w:val="22"/>
        </w:rPr>
        <w:t xml:space="preserve"> onmiddellijk</w:t>
      </w:r>
      <w:r w:rsidR="001F675A">
        <w:rPr>
          <w:rFonts w:eastAsiaTheme="minorEastAsia" w:cs="Arial"/>
          <w:color w:val="000000" w:themeColor="text1"/>
          <w:szCs w:val="22"/>
        </w:rPr>
        <w:t xml:space="preserve"> faciliteert in het voorzien daarin.</w:t>
      </w:r>
      <w:r w:rsidR="00B602A3" w:rsidRPr="00B602A3">
        <w:rPr>
          <w:rFonts w:eastAsiaTheme="minorEastAsia" w:cs="Arial"/>
          <w:color w:val="000000" w:themeColor="text1"/>
          <w:szCs w:val="22"/>
        </w:rPr>
        <w:t xml:space="preserve"> </w:t>
      </w:r>
      <w:r w:rsidR="00B602A3">
        <w:rPr>
          <w:rFonts w:eastAsiaTheme="minorEastAsia" w:cs="Arial"/>
          <w:color w:val="000000" w:themeColor="text1"/>
          <w:szCs w:val="22"/>
        </w:rPr>
        <w:t xml:space="preserve">Zij hebben nu eenmaal </w:t>
      </w:r>
      <w:r w:rsidR="00811972">
        <w:rPr>
          <w:rFonts w:eastAsiaTheme="minorEastAsia" w:cs="Arial"/>
          <w:color w:val="000000" w:themeColor="text1"/>
          <w:szCs w:val="22"/>
        </w:rPr>
        <w:t>groot</w:t>
      </w:r>
      <w:r w:rsidR="00B602A3">
        <w:rPr>
          <w:rFonts w:eastAsiaTheme="minorEastAsia" w:cs="Arial"/>
          <w:color w:val="000000" w:themeColor="text1"/>
          <w:szCs w:val="22"/>
        </w:rPr>
        <w:t xml:space="preserve"> belang bij directe praktische hulp en vlotte erkenning, </w:t>
      </w:r>
      <w:r w:rsidR="00811972">
        <w:rPr>
          <w:rFonts w:eastAsiaTheme="minorEastAsia" w:cs="Arial"/>
          <w:color w:val="000000" w:themeColor="text1"/>
          <w:szCs w:val="22"/>
        </w:rPr>
        <w:t xml:space="preserve">vermoedelijk nog meer dan </w:t>
      </w:r>
      <w:r w:rsidR="00B602A3">
        <w:rPr>
          <w:rFonts w:eastAsiaTheme="minorEastAsia" w:cs="Arial"/>
          <w:color w:val="000000" w:themeColor="text1"/>
          <w:szCs w:val="22"/>
        </w:rPr>
        <w:t>bij juridisch-financiële hoogstandjes achteraf.</w:t>
      </w:r>
      <w:r w:rsidR="00E4608F">
        <w:rPr>
          <w:rFonts w:eastAsiaTheme="minorEastAsia" w:cs="Arial"/>
          <w:color w:val="000000" w:themeColor="text1"/>
          <w:szCs w:val="22"/>
        </w:rPr>
        <w:t xml:space="preserve"> Aansprakelijke partijen, en vooral hun professionele aansprakelijkheidsverzekeraars kunnen in de praktijk een rol van betekenis vervullen door van aanvang af te voorzien in begeleiding en hulp van de gekwetste en diens naasten</w:t>
      </w:r>
      <w:r w:rsidR="00811972">
        <w:rPr>
          <w:rFonts w:eastAsiaTheme="minorEastAsia" w:cs="Arial"/>
          <w:color w:val="000000" w:themeColor="text1"/>
          <w:szCs w:val="22"/>
        </w:rPr>
        <w:t xml:space="preserve"> bij het vervullen van zorgtaken</w:t>
      </w:r>
      <w:r w:rsidR="00E4608F">
        <w:rPr>
          <w:rFonts w:eastAsiaTheme="minorEastAsia" w:cs="Arial"/>
          <w:color w:val="000000" w:themeColor="text1"/>
          <w:szCs w:val="22"/>
        </w:rPr>
        <w:t>.</w:t>
      </w:r>
      <w:r w:rsidR="00811972">
        <w:rPr>
          <w:rFonts w:eastAsiaTheme="minorEastAsia" w:cs="Arial"/>
          <w:color w:val="000000" w:themeColor="text1"/>
          <w:szCs w:val="22"/>
        </w:rPr>
        <w:t xml:space="preserve"> Zij kunnen hun expertise bovendien aanwenden voor de vormgeving van de ‘zorgtoekomst’ van de gekwetste en van de rol van diens naasten daarin.</w:t>
      </w:r>
      <w:r w:rsidR="007E45B2" w:rsidRPr="007E45B2">
        <w:rPr>
          <w:rFonts w:eastAsiaTheme="minorEastAsia" w:cs="Arial"/>
          <w:color w:val="000000" w:themeColor="text1"/>
          <w:szCs w:val="22"/>
        </w:rPr>
        <w:t xml:space="preserve"> </w:t>
      </w:r>
      <w:r w:rsidR="007E45B2">
        <w:rPr>
          <w:rFonts w:eastAsiaTheme="minorEastAsia" w:cs="Arial"/>
          <w:color w:val="000000" w:themeColor="text1"/>
          <w:szCs w:val="22"/>
        </w:rPr>
        <w:t>Laten zij die taak liggen</w:t>
      </w:r>
      <w:r w:rsidR="007E45B2">
        <w:rPr>
          <w:rFonts w:eastAsiaTheme="minorEastAsia" w:cs="Arial"/>
          <w:color w:val="000000" w:themeColor="text1"/>
          <w:szCs w:val="22"/>
        </w:rPr>
        <w:t>, dan lopen zij het risico daarvoor achteraf een (hoge) prijs te betalen.</w:t>
      </w:r>
    </w:p>
    <w:p w:rsidR="00811972" w:rsidRDefault="00811972" w:rsidP="00387A4D">
      <w:pPr>
        <w:rPr>
          <w:rFonts w:eastAsiaTheme="minorEastAsia" w:cs="Arial"/>
          <w:color w:val="000000" w:themeColor="text1"/>
          <w:szCs w:val="22"/>
        </w:rPr>
      </w:pPr>
    </w:p>
    <w:p w:rsidR="00811972" w:rsidRDefault="00811972" w:rsidP="00387A4D">
      <w:pPr>
        <w:rPr>
          <w:rFonts w:eastAsiaTheme="minorEastAsia" w:cs="Arial"/>
          <w:color w:val="000000" w:themeColor="text1"/>
          <w:szCs w:val="22"/>
        </w:rPr>
      </w:pPr>
      <w:r>
        <w:rPr>
          <w:rFonts w:eastAsiaTheme="minorEastAsia" w:cs="Arial"/>
          <w:color w:val="000000" w:themeColor="text1"/>
          <w:szCs w:val="22"/>
        </w:rPr>
        <w:t xml:space="preserve">Strekt de behoefte aan zorg zich uit over de </w:t>
      </w:r>
      <w:r w:rsidR="001E1AD4">
        <w:rPr>
          <w:rFonts w:eastAsiaTheme="minorEastAsia" w:cs="Arial"/>
          <w:color w:val="000000" w:themeColor="text1"/>
          <w:szCs w:val="22"/>
        </w:rPr>
        <w:t>(</w:t>
      </w:r>
      <w:r>
        <w:rPr>
          <w:rFonts w:eastAsiaTheme="minorEastAsia" w:cs="Arial"/>
          <w:color w:val="000000" w:themeColor="text1"/>
          <w:szCs w:val="22"/>
        </w:rPr>
        <w:t>verdere</w:t>
      </w:r>
      <w:r w:rsidR="001E1AD4">
        <w:rPr>
          <w:rFonts w:eastAsiaTheme="minorEastAsia" w:cs="Arial"/>
          <w:color w:val="000000" w:themeColor="text1"/>
          <w:szCs w:val="22"/>
        </w:rPr>
        <w:t>)</w:t>
      </w:r>
      <w:r>
        <w:rPr>
          <w:rFonts w:eastAsiaTheme="minorEastAsia" w:cs="Arial"/>
          <w:color w:val="000000" w:themeColor="text1"/>
          <w:szCs w:val="22"/>
        </w:rPr>
        <w:t xml:space="preserve"> toekomst, dan is de afwikkeling van de vergoeding ter zake ineens problematisch</w:t>
      </w:r>
      <w:r w:rsidR="001E1AD4">
        <w:rPr>
          <w:rFonts w:eastAsiaTheme="minorEastAsia" w:cs="Arial"/>
          <w:color w:val="000000" w:themeColor="text1"/>
          <w:szCs w:val="22"/>
        </w:rPr>
        <w:t>.</w:t>
      </w:r>
      <w:r>
        <w:rPr>
          <w:rFonts w:eastAsiaTheme="minorEastAsia" w:cs="Arial"/>
          <w:color w:val="000000" w:themeColor="text1"/>
          <w:szCs w:val="22"/>
        </w:rPr>
        <w:t xml:space="preserve"> </w:t>
      </w:r>
      <w:r w:rsidR="001E1AD4">
        <w:rPr>
          <w:rFonts w:eastAsiaTheme="minorEastAsia" w:cs="Arial"/>
          <w:color w:val="000000" w:themeColor="text1"/>
          <w:szCs w:val="22"/>
        </w:rPr>
        <w:t>D</w:t>
      </w:r>
      <w:r>
        <w:rPr>
          <w:rFonts w:eastAsiaTheme="minorEastAsia" w:cs="Arial"/>
          <w:color w:val="000000" w:themeColor="text1"/>
          <w:szCs w:val="22"/>
        </w:rPr>
        <w:t xml:space="preserve">e ontwikkeling van de zorgbehoefte van de gekwetste is onzeker, de wijze waarop daarin van overheidswege wordt voorzien </w:t>
      </w:r>
      <w:r>
        <w:rPr>
          <w:rFonts w:eastAsiaTheme="minorEastAsia" w:cs="Arial"/>
          <w:color w:val="000000" w:themeColor="text1"/>
          <w:szCs w:val="22"/>
        </w:rPr>
        <w:lastRenderedPageBreak/>
        <w:t xml:space="preserve">is dat evenzeer. </w:t>
      </w:r>
      <w:r w:rsidR="001E1AD4">
        <w:rPr>
          <w:rFonts w:eastAsiaTheme="minorEastAsia" w:cs="Arial"/>
          <w:color w:val="000000" w:themeColor="text1"/>
          <w:szCs w:val="22"/>
        </w:rPr>
        <w:t xml:space="preserve">En wordt beoogd om de zorgbehoefte in de toekomst door naasten te laten vervullen, dan nemen de complicaties toe: zullen zij in die behoefte (kunnen) blijven voorzien? En hoe moeten, wanneer door hen daarvoor inkomen wordt </w:t>
      </w:r>
      <w:r w:rsidR="007E45B2">
        <w:rPr>
          <w:rFonts w:eastAsiaTheme="minorEastAsia" w:cs="Arial"/>
          <w:color w:val="000000" w:themeColor="text1"/>
          <w:szCs w:val="22"/>
        </w:rPr>
        <w:t>prijs</w:t>
      </w:r>
      <w:bookmarkStart w:id="0" w:name="_GoBack"/>
      <w:bookmarkEnd w:id="0"/>
      <w:r w:rsidR="001E1AD4">
        <w:rPr>
          <w:rFonts w:eastAsiaTheme="minorEastAsia" w:cs="Arial"/>
          <w:color w:val="000000" w:themeColor="text1"/>
          <w:szCs w:val="22"/>
        </w:rPr>
        <w:t xml:space="preserve">gegeven, de financiële offers die zij daarvoor in de toekomst zullen brengen worden getaxeerd? Deze complicaties en vragen – en ook andere: hoe kan bijvoorbeeld hun onderlinge rechtsverhouding het beste worden geduid of vormgegeven? – spelen deels al onder het bestaande recht, maar winnen aan </w:t>
      </w:r>
      <w:r w:rsidR="009E0157">
        <w:rPr>
          <w:rFonts w:eastAsiaTheme="minorEastAsia" w:cs="Arial"/>
          <w:color w:val="000000" w:themeColor="text1"/>
          <w:szCs w:val="22"/>
        </w:rPr>
        <w:t>gewicht</w:t>
      </w:r>
      <w:r w:rsidR="001E1AD4">
        <w:rPr>
          <w:rFonts w:eastAsiaTheme="minorEastAsia" w:cs="Arial"/>
          <w:color w:val="000000" w:themeColor="text1"/>
          <w:szCs w:val="22"/>
        </w:rPr>
        <w:t xml:space="preserve"> wanneer toekomstige inkomensschade van naasten in de schadebegroting moet worden betrokken</w:t>
      </w:r>
      <w:r w:rsidR="009E0157">
        <w:rPr>
          <w:rFonts w:eastAsiaTheme="minorEastAsia" w:cs="Arial"/>
          <w:color w:val="000000" w:themeColor="text1"/>
          <w:szCs w:val="22"/>
        </w:rPr>
        <w:t>, omdat de onzekerheden en het financiële belang van de zaak daardoor toenemen</w:t>
      </w:r>
      <w:r w:rsidR="001E1AD4">
        <w:rPr>
          <w:rFonts w:eastAsiaTheme="minorEastAsia" w:cs="Arial"/>
          <w:color w:val="000000" w:themeColor="text1"/>
          <w:szCs w:val="22"/>
        </w:rPr>
        <w:t xml:space="preserve">. Dat is op zichzelf geen reden om </w:t>
      </w:r>
      <w:r w:rsidR="009E0157">
        <w:rPr>
          <w:rFonts w:eastAsiaTheme="minorEastAsia" w:cs="Arial"/>
          <w:color w:val="000000" w:themeColor="text1"/>
          <w:szCs w:val="22"/>
        </w:rPr>
        <w:t>e</w:t>
      </w:r>
      <w:r w:rsidR="001E1AD4">
        <w:rPr>
          <w:rFonts w:eastAsiaTheme="minorEastAsia" w:cs="Arial"/>
          <w:color w:val="000000" w:themeColor="text1"/>
          <w:szCs w:val="22"/>
        </w:rPr>
        <w:t xml:space="preserve">rvan af te zien, maar </w:t>
      </w:r>
      <w:r w:rsidR="009E0157">
        <w:rPr>
          <w:rFonts w:eastAsiaTheme="minorEastAsia" w:cs="Arial"/>
          <w:color w:val="000000" w:themeColor="text1"/>
          <w:szCs w:val="22"/>
        </w:rPr>
        <w:t>is wel een reden te meer om in een vroeg stadium te komen tot overleg tussen de betrokken partijen. Het Kruidhofarrest heeft als gezegd (ook) daarvoor de weg bereid.</w:t>
      </w:r>
    </w:p>
    <w:sectPr w:rsidR="00811972" w:rsidSect="007B252B">
      <w:footerReference w:type="default" r:id="rId8"/>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7E9C" w:rsidRDefault="00837E9C" w:rsidP="00F832D8">
      <w:r>
        <w:separator/>
      </w:r>
    </w:p>
  </w:endnote>
  <w:endnote w:type="continuationSeparator" w:id="0">
    <w:p w:rsidR="00837E9C" w:rsidRDefault="00837E9C" w:rsidP="00F83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4741969"/>
      <w:docPartObj>
        <w:docPartGallery w:val="Page Numbers (Bottom of Page)"/>
        <w:docPartUnique/>
      </w:docPartObj>
    </w:sdtPr>
    <w:sdtEndPr/>
    <w:sdtContent>
      <w:p w:rsidR="00A8130E" w:rsidRDefault="000E1ECC">
        <w:pPr>
          <w:pStyle w:val="Footer"/>
          <w:jc w:val="center"/>
        </w:pPr>
        <w:r>
          <w:fldChar w:fldCharType="begin"/>
        </w:r>
        <w:r>
          <w:instrText>PAGE   \* MERGEFORMAT</w:instrText>
        </w:r>
        <w:r>
          <w:fldChar w:fldCharType="separate"/>
        </w:r>
        <w:r w:rsidR="007E45B2">
          <w:rPr>
            <w:noProof/>
          </w:rPr>
          <w:t>10</w:t>
        </w:r>
        <w:r>
          <w:rPr>
            <w:noProof/>
          </w:rPr>
          <w:fldChar w:fldCharType="end"/>
        </w:r>
      </w:p>
    </w:sdtContent>
  </w:sdt>
  <w:p w:rsidR="00A8130E" w:rsidRDefault="00A813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7E9C" w:rsidRDefault="00837E9C" w:rsidP="00F832D8">
      <w:r>
        <w:separator/>
      </w:r>
    </w:p>
  </w:footnote>
  <w:footnote w:type="continuationSeparator" w:id="0">
    <w:p w:rsidR="00837E9C" w:rsidRDefault="00837E9C" w:rsidP="00F832D8">
      <w:r>
        <w:continuationSeparator/>
      </w:r>
    </w:p>
  </w:footnote>
  <w:footnote w:id="1">
    <w:p w:rsidR="00B51A47" w:rsidRDefault="00B51A47">
      <w:pPr>
        <w:pStyle w:val="FootnoteText"/>
      </w:pPr>
      <w:r>
        <w:rPr>
          <w:rStyle w:val="FootnoteReference"/>
        </w:rPr>
        <w:footnoteRef/>
      </w:r>
      <w:r>
        <w:t xml:space="preserve"> Siewert Lindenbergh is hoogleraar privaatrecht aan de Erasmus Universiteit Rotterdam.</w:t>
      </w:r>
    </w:p>
  </w:footnote>
  <w:footnote w:id="2">
    <w:p w:rsidR="00A8130E" w:rsidRPr="004B2DAD" w:rsidRDefault="00A8130E">
      <w:pPr>
        <w:pStyle w:val="FootnoteText"/>
      </w:pPr>
      <w:r>
        <w:rPr>
          <w:rStyle w:val="FootnoteReference"/>
        </w:rPr>
        <w:footnoteRef/>
      </w:r>
      <w:r>
        <w:t xml:space="preserve"> </w:t>
      </w:r>
      <w:r w:rsidR="004B2DAD" w:rsidRPr="004B2DAD">
        <w:rPr>
          <w:rFonts w:cs="Arial"/>
        </w:rPr>
        <w:t>https://www.internetconsultatie.nl/wetsvoorstel_zorg_en_affectieschade.</w:t>
      </w:r>
    </w:p>
  </w:footnote>
  <w:footnote w:id="3">
    <w:p w:rsidR="00A8130E" w:rsidRPr="005E32F1" w:rsidRDefault="00A8130E">
      <w:pPr>
        <w:pStyle w:val="FootnoteText"/>
      </w:pPr>
      <w:r>
        <w:rPr>
          <w:rStyle w:val="FootnoteReference"/>
        </w:rPr>
        <w:footnoteRef/>
      </w:r>
      <w:r>
        <w:t xml:space="preserve"> Zie S.D. Lindenbergh, </w:t>
      </w:r>
      <w:r w:rsidRPr="009655A1">
        <w:rPr>
          <w:i/>
        </w:rPr>
        <w:t>Van smart naar geld</w:t>
      </w:r>
      <w:r>
        <w:t>, Deventer 2013, p. 49-58.</w:t>
      </w:r>
    </w:p>
  </w:footnote>
  <w:footnote w:id="4">
    <w:p w:rsidR="00701E49" w:rsidRPr="00701E49" w:rsidRDefault="00701E49">
      <w:pPr>
        <w:pStyle w:val="FootnoteText"/>
        <w:rPr>
          <w:lang w:val="en-US"/>
        </w:rPr>
      </w:pPr>
      <w:r>
        <w:rPr>
          <w:rStyle w:val="FootnoteReference"/>
        </w:rPr>
        <w:footnoteRef/>
      </w:r>
      <w:r>
        <w:t xml:space="preserve"> </w:t>
      </w:r>
      <w:r>
        <w:rPr>
          <w:lang w:val="en-US"/>
        </w:rPr>
        <w:t>Dat betrof in casu 200 km, enkele reis.</w:t>
      </w:r>
    </w:p>
  </w:footnote>
  <w:footnote w:id="5">
    <w:p w:rsidR="00A8130E" w:rsidRPr="003D4B94" w:rsidRDefault="00A8130E">
      <w:pPr>
        <w:pStyle w:val="FootnoteText"/>
      </w:pPr>
      <w:r>
        <w:rPr>
          <w:rStyle w:val="FootnoteReference"/>
        </w:rPr>
        <w:footnoteRef/>
      </w:r>
      <w:r>
        <w:t xml:space="preserve"> Ten aanzien van de </w:t>
      </w:r>
      <w:r>
        <w:rPr>
          <w:i/>
        </w:rPr>
        <w:t>kosten</w:t>
      </w:r>
      <w:r>
        <w:t xml:space="preserve"> van bezoek, die naar de letter moeilijk onder art. 6:107 BW zijn te brengen, bestaat in de praktijk gelukkig al sinds jaar en dag overeenstemming over vergoedbaarheid. </w:t>
      </w:r>
      <w:r w:rsidR="001F675A">
        <w:t xml:space="preserve">Zie reeds Rapport Verbondscommissie Schaderegelingsbeleid, onder 7.4. </w:t>
      </w:r>
      <w:r>
        <w:t>Over de omvang van deze kosten kan natuurlijk wel onenigheid bestaan, met name wanneer zij de normbedragen van de Letselschaderaad overstijgen.</w:t>
      </w:r>
    </w:p>
  </w:footnote>
  <w:footnote w:id="6">
    <w:p w:rsidR="00A8130E" w:rsidRPr="00F832D8" w:rsidRDefault="00A8130E">
      <w:pPr>
        <w:pStyle w:val="FootnoteText"/>
      </w:pPr>
      <w:r>
        <w:rPr>
          <w:rStyle w:val="FootnoteReference"/>
        </w:rPr>
        <w:footnoteRef/>
      </w:r>
      <w:r>
        <w:t xml:space="preserve"> </w:t>
      </w:r>
      <w:r w:rsidRPr="00F832D8">
        <w:t xml:space="preserve">HR 28 mei 1999, </w:t>
      </w:r>
      <w:r w:rsidRPr="009655A1">
        <w:rPr>
          <w:i/>
        </w:rPr>
        <w:t>NJ</w:t>
      </w:r>
      <w:r w:rsidRPr="00F832D8">
        <w:t xml:space="preserve"> 1999/564 m.nt. A.R. Bloembergen (Losser/De Vries).</w:t>
      </w:r>
    </w:p>
  </w:footnote>
  <w:footnote w:id="7">
    <w:p w:rsidR="00A8130E" w:rsidRDefault="00A8130E">
      <w:pPr>
        <w:pStyle w:val="FootnoteText"/>
      </w:pPr>
      <w:r>
        <w:rPr>
          <w:rStyle w:val="FootnoteReference"/>
        </w:rPr>
        <w:footnoteRef/>
      </w:r>
      <w:r>
        <w:t xml:space="preserve"> Zie overigens in deze zin reeds </w:t>
      </w:r>
      <w:r w:rsidR="004B2DAD">
        <w:t xml:space="preserve">HR 23 april 1976, </w:t>
      </w:r>
      <w:r w:rsidR="004B2DAD">
        <w:rPr>
          <w:i/>
        </w:rPr>
        <w:t>NJ</w:t>
      </w:r>
      <w:r w:rsidR="004B2DAD">
        <w:t xml:space="preserve"> 1976/451 m.nt. G.J. Scholten (Franciscaner Pater)</w:t>
      </w:r>
      <w:r>
        <w:t xml:space="preserve">. Zie voor overlijden in gelijke zin </w:t>
      </w:r>
      <w:r w:rsidRPr="003D1184">
        <w:rPr>
          <w:rStyle w:val="tdefault"/>
          <w:color w:val="000000"/>
        </w:rPr>
        <w:t xml:space="preserve">HR 28 februari 1986, </w:t>
      </w:r>
      <w:r w:rsidRPr="001C4DD7">
        <w:rPr>
          <w:rStyle w:val="tdefault"/>
          <w:i/>
          <w:color w:val="000000"/>
        </w:rPr>
        <w:t>NJ</w:t>
      </w:r>
      <w:r w:rsidRPr="003D1184">
        <w:rPr>
          <w:rStyle w:val="tdefault"/>
          <w:color w:val="000000"/>
        </w:rPr>
        <w:t xml:space="preserve"> 1987</w:t>
      </w:r>
      <w:r>
        <w:rPr>
          <w:rStyle w:val="tdefault"/>
          <w:color w:val="000000"/>
        </w:rPr>
        <w:t>/</w:t>
      </w:r>
      <w:r w:rsidRPr="003D1184">
        <w:rPr>
          <w:rStyle w:val="tdefault"/>
          <w:color w:val="000000"/>
        </w:rPr>
        <w:t>100</w:t>
      </w:r>
      <w:r>
        <w:rPr>
          <w:rStyle w:val="tdefault"/>
          <w:color w:val="000000"/>
        </w:rPr>
        <w:t xml:space="preserve"> (Tijsterman/Hony)</w:t>
      </w:r>
      <w:r>
        <w:t xml:space="preserve"> en </w:t>
      </w:r>
      <w:r w:rsidRPr="00836EA0">
        <w:t xml:space="preserve">HR 11 juli 2008, </w:t>
      </w:r>
      <w:r w:rsidRPr="00836EA0">
        <w:rPr>
          <w:i/>
        </w:rPr>
        <w:t>NJ</w:t>
      </w:r>
      <w:r w:rsidRPr="00836EA0">
        <w:t xml:space="preserve"> 2009</w:t>
      </w:r>
      <w:r>
        <w:t>/</w:t>
      </w:r>
      <w:r w:rsidRPr="00836EA0">
        <w:t>385</w:t>
      </w:r>
      <w:r>
        <w:t>,</w:t>
      </w:r>
      <w:r w:rsidRPr="00836EA0">
        <w:t xml:space="preserve"> m.nt. J.B.</w:t>
      </w:r>
      <w:r>
        <w:t>M. Vranken</w:t>
      </w:r>
      <w:r w:rsidRPr="00836EA0">
        <w:t xml:space="preserve"> (Bakkum/Achmea).</w:t>
      </w:r>
    </w:p>
  </w:footnote>
  <w:footnote w:id="8">
    <w:p w:rsidR="00A8130E" w:rsidRPr="0041764F" w:rsidRDefault="00A8130E">
      <w:pPr>
        <w:pStyle w:val="FootnoteText"/>
      </w:pPr>
      <w:r>
        <w:rPr>
          <w:rStyle w:val="FootnoteReference"/>
        </w:rPr>
        <w:footnoteRef/>
      </w:r>
      <w:r w:rsidRPr="0041764F">
        <w:t xml:space="preserve"> Vgl. HR 21 februari 1997, </w:t>
      </w:r>
      <w:r w:rsidRPr="0041764F">
        <w:rPr>
          <w:i/>
        </w:rPr>
        <w:t>NJ</w:t>
      </w:r>
      <w:r w:rsidRPr="0041764F">
        <w:t xml:space="preserve"> 1999/145 m.nt. C.J.H. Brunner (Wrongful birth) en HR 31 maart 2005, </w:t>
      </w:r>
      <w:r w:rsidRPr="0041764F">
        <w:rPr>
          <w:i/>
        </w:rPr>
        <w:t>NJ</w:t>
      </w:r>
      <w:r w:rsidRPr="0041764F">
        <w:t xml:space="preserve"> 2006/606</w:t>
      </w:r>
      <w:r>
        <w:t xml:space="preserve"> m.nt. J.B.M. Vranken (Wrongful life)</w:t>
      </w:r>
      <w:r w:rsidRPr="0041764F">
        <w:t>.</w:t>
      </w:r>
    </w:p>
  </w:footnote>
  <w:footnote w:id="9">
    <w:p w:rsidR="00A8130E" w:rsidRDefault="00A8130E">
      <w:pPr>
        <w:pStyle w:val="FootnoteText"/>
      </w:pPr>
      <w:r>
        <w:rPr>
          <w:rStyle w:val="FootnoteReference"/>
        </w:rPr>
        <w:footnoteRef/>
      </w:r>
      <w:r>
        <w:t xml:space="preserve"> Zie over de schadebeperkingsplicht van de aansprakelijke in relatie tot die van de benadeelde Schadevergoeding (Boonekamp), art. 101, aant. </w:t>
      </w:r>
      <w:r w:rsidR="00B16947">
        <w:t>37</w:t>
      </w:r>
      <w:r>
        <w:t>.</w:t>
      </w:r>
    </w:p>
  </w:footnote>
  <w:footnote w:id="10">
    <w:p w:rsidR="00A8130E" w:rsidRPr="004F0DED" w:rsidRDefault="00A8130E" w:rsidP="00314523">
      <w:pPr>
        <w:pStyle w:val="FootnoteText"/>
      </w:pPr>
      <w:r>
        <w:rPr>
          <w:rStyle w:val="FootnoteReference"/>
        </w:rPr>
        <w:footnoteRef/>
      </w:r>
      <w:r>
        <w:t xml:space="preserve"> </w:t>
      </w:r>
      <w:r w:rsidRPr="004F0DED">
        <w:t xml:space="preserve">Vgl. </w:t>
      </w:r>
      <w:r>
        <w:t xml:space="preserve">HR 5 december 2008, </w:t>
      </w:r>
      <w:r w:rsidRPr="003B114B">
        <w:rPr>
          <w:i/>
        </w:rPr>
        <w:t>NJ</w:t>
      </w:r>
      <w:r>
        <w:t xml:space="preserve"> 2009/387, m.nt. J.B.M. Vranken (Rijnstate/Reuvers)</w:t>
      </w:r>
      <w:r w:rsidRPr="004F0DED">
        <w:t xml:space="preserve"> en recenter HR 26 september 2014, ECLI:NL:HR:2014:2797 (De Jonge/Scheper Ziekenhuis).</w:t>
      </w:r>
    </w:p>
  </w:footnote>
  <w:footnote w:id="11">
    <w:p w:rsidR="00A8130E" w:rsidRDefault="00A8130E">
      <w:pPr>
        <w:pStyle w:val="FootnoteText"/>
      </w:pPr>
      <w:r>
        <w:rPr>
          <w:rStyle w:val="FootnoteReference"/>
        </w:rPr>
        <w:footnoteRef/>
      </w:r>
      <w:r>
        <w:t xml:space="preserve"> Zie nader S.D. Lindenbergh, </w:t>
      </w:r>
      <w:r w:rsidR="003B0C79">
        <w:t xml:space="preserve">‘Over herstel bij letsel’, in: R. de Groot e.a. (red.), </w:t>
      </w:r>
      <w:r w:rsidR="003B0C79">
        <w:rPr>
          <w:i/>
        </w:rPr>
        <w:t>Kritiek op recht</w:t>
      </w:r>
      <w:r w:rsidR="003B0C79">
        <w:t>, liber amicorum Gerrit van Maanen, Deventer 2014, p. 239 e.v.</w:t>
      </w:r>
    </w:p>
  </w:footnote>
  <w:footnote w:id="12">
    <w:p w:rsidR="00A8130E" w:rsidRPr="00C62C48" w:rsidRDefault="00A8130E" w:rsidP="002A5CE9">
      <w:pPr>
        <w:pStyle w:val="FootnoteText"/>
      </w:pPr>
      <w:r>
        <w:rPr>
          <w:rStyle w:val="FootnoteReference"/>
        </w:rPr>
        <w:footnoteRef/>
      </w:r>
      <w:r w:rsidRPr="00C62C48">
        <w:t xml:space="preserve"> HR 11 juli 2008, </w:t>
      </w:r>
      <w:r w:rsidRPr="00C62C48">
        <w:rPr>
          <w:i/>
        </w:rPr>
        <w:t>NJ</w:t>
      </w:r>
      <w:r w:rsidRPr="00C62C48">
        <w:t xml:space="preserve"> 2009</w:t>
      </w:r>
      <w:r>
        <w:t>/</w:t>
      </w:r>
      <w:r w:rsidRPr="00C62C48">
        <w:t>385 m.nt. J.B.M. Vranken (Bakkum/Achmea</w:t>
      </w:r>
      <w:r>
        <w:t>), rov. 3.4.3, slot</w:t>
      </w:r>
      <w:r w:rsidRPr="00102DA1">
        <w:rPr>
          <w:rStyle w:val="tdefault"/>
          <w:color w:val="000000"/>
        </w:rPr>
        <w:t>.</w:t>
      </w:r>
    </w:p>
  </w:footnote>
  <w:footnote w:id="13">
    <w:p w:rsidR="00A8130E" w:rsidRPr="009858C4" w:rsidRDefault="00A8130E">
      <w:pPr>
        <w:pStyle w:val="FootnoteText"/>
      </w:pPr>
      <w:r>
        <w:rPr>
          <w:rStyle w:val="FootnoteReference"/>
        </w:rPr>
        <w:footnoteRef/>
      </w:r>
      <w:r>
        <w:t xml:space="preserve"> </w:t>
      </w:r>
      <w:r w:rsidRPr="009858C4">
        <w:t xml:space="preserve">Vgl. </w:t>
      </w:r>
      <w:r>
        <w:t xml:space="preserve">HR 5 december 2008, </w:t>
      </w:r>
      <w:r w:rsidRPr="003B114B">
        <w:rPr>
          <w:i/>
        </w:rPr>
        <w:t>NJ</w:t>
      </w:r>
      <w:r>
        <w:t xml:space="preserve"> 2009/387 m.nt. J.B.M. Vranken (Rijnstate/Reuvers).</w:t>
      </w:r>
    </w:p>
  </w:footnote>
  <w:footnote w:id="14">
    <w:p w:rsidR="00030F63" w:rsidRPr="00030F63" w:rsidRDefault="00030F63">
      <w:pPr>
        <w:pStyle w:val="FootnoteText"/>
        <w:rPr>
          <w:lang w:val="en-US"/>
        </w:rPr>
      </w:pPr>
      <w:r>
        <w:rPr>
          <w:rStyle w:val="FootnoteReference"/>
        </w:rPr>
        <w:footnoteRef/>
      </w:r>
      <w:r>
        <w:t xml:space="preserve"> </w:t>
      </w:r>
      <w:r>
        <w:rPr>
          <w:lang w:val="en-US"/>
        </w:rPr>
        <w:t xml:space="preserve">Verschillende auteurs lijken op dit punt te zijn bevangen door een misverstand. Vgl. </w:t>
      </w:r>
      <w:r w:rsidR="002267A4">
        <w:rPr>
          <w:lang w:val="en-US"/>
        </w:rPr>
        <w:t>b</w:t>
      </w:r>
      <w:r>
        <w:rPr>
          <w:lang w:val="en-US"/>
        </w:rPr>
        <w:t>ijv. F.Th. Kremer</w:t>
      </w:r>
      <w:r w:rsidR="00660089">
        <w:rPr>
          <w:lang w:val="en-US"/>
        </w:rPr>
        <w:t xml:space="preserve">, ‘Affectieschade en zorgschade: een (on)mogelijk duo?’, </w:t>
      </w:r>
      <w:r w:rsidR="00660089" w:rsidRPr="00660089">
        <w:rPr>
          <w:i/>
          <w:lang w:val="en-US"/>
        </w:rPr>
        <w:t>TVP</w:t>
      </w:r>
      <w:r w:rsidR="00660089">
        <w:rPr>
          <w:lang w:val="en-US"/>
        </w:rPr>
        <w:t xml:space="preserve"> 2014/4, p. 131, waar hij meent dat zorgschade bij ernstig letsel valt onder het voorgestelde art. 6:96 BW en bij </w:t>
      </w:r>
      <w:r w:rsidR="00A32C2F">
        <w:rPr>
          <w:lang w:val="en-US"/>
        </w:rPr>
        <w:t>m</w:t>
      </w:r>
      <w:r w:rsidR="00660089">
        <w:rPr>
          <w:lang w:val="en-US"/>
        </w:rPr>
        <w:t>inder ernstig letsel onder 6:107 BW. Dat is onjuist: zorgschade valt (ook nu</w:t>
      </w:r>
      <w:r w:rsidR="002267A4">
        <w:rPr>
          <w:lang w:val="en-US"/>
        </w:rPr>
        <w:t xml:space="preserve"> al</w:t>
      </w:r>
      <w:r w:rsidR="00660089">
        <w:rPr>
          <w:lang w:val="en-US"/>
        </w:rPr>
        <w:t>) onder 6:96 BW; hebben derden ter zake kosten gemaakt, dan komt hun een eigen aanspraak op grond van art. 6:107 BW toe.</w:t>
      </w:r>
    </w:p>
  </w:footnote>
  <w:footnote w:id="15">
    <w:p w:rsidR="00B51A47" w:rsidRPr="006C08DD" w:rsidRDefault="00B51A47">
      <w:pPr>
        <w:pStyle w:val="FootnoteText"/>
      </w:pPr>
      <w:r>
        <w:rPr>
          <w:rStyle w:val="FootnoteReference"/>
        </w:rPr>
        <w:footnoteRef/>
      </w:r>
      <w:r>
        <w:t xml:space="preserve"> Van ‘schipperen’ (R. Rijnhout, ‘Consultatievoorstel vergoeding voor zorg- en affectieschade: twee, of zelfs drie stappen vooruit?’, </w:t>
      </w:r>
      <w:r>
        <w:rPr>
          <w:i/>
        </w:rPr>
        <w:t>NTBR</w:t>
      </w:r>
      <w:r w:rsidR="006C08DD">
        <w:t xml:space="preserve"> 2014/39, p. 322) </w:t>
      </w:r>
      <w:r w:rsidR="00BA6A8F">
        <w:t>i</w:t>
      </w:r>
      <w:r w:rsidR="006C08DD">
        <w:t>s dus m.i. (terecht) geen sprake.</w:t>
      </w:r>
    </w:p>
  </w:footnote>
  <w:footnote w:id="16">
    <w:p w:rsidR="00A8130E" w:rsidRDefault="00A8130E">
      <w:pPr>
        <w:pStyle w:val="FootnoteText"/>
      </w:pPr>
      <w:r>
        <w:rPr>
          <w:rStyle w:val="FootnoteReference"/>
        </w:rPr>
        <w:footnoteRef/>
      </w:r>
      <w:r>
        <w:t xml:space="preserve"> Zie bijv. Vranken (noot </w:t>
      </w:r>
      <w:r w:rsidRPr="00FE4521">
        <w:rPr>
          <w:i/>
        </w:rPr>
        <w:t>NJ</w:t>
      </w:r>
      <w:r>
        <w:t xml:space="preserve"> 2003</w:t>
      </w:r>
      <w:r w:rsidR="00BA6A8F">
        <w:t>/</w:t>
      </w:r>
      <w:r>
        <w:t>504, sub 5e).</w:t>
      </w:r>
    </w:p>
  </w:footnote>
  <w:footnote w:id="17">
    <w:p w:rsidR="00A8130E" w:rsidRDefault="00A8130E">
      <w:pPr>
        <w:pStyle w:val="FootnoteText"/>
      </w:pPr>
      <w:r>
        <w:rPr>
          <w:rStyle w:val="FootnoteReference"/>
        </w:rPr>
        <w:footnoteRef/>
      </w:r>
      <w:r>
        <w:t xml:space="preserve"> Vgl. art. 6:96 lid 2 BW.</w:t>
      </w:r>
    </w:p>
  </w:footnote>
  <w:footnote w:id="18">
    <w:p w:rsidR="00DB0CAA" w:rsidRDefault="00DB0CAA">
      <w:pPr>
        <w:pStyle w:val="FootnoteText"/>
      </w:pPr>
      <w:r>
        <w:rPr>
          <w:rStyle w:val="FootnoteReference"/>
        </w:rPr>
        <w:footnoteRef/>
      </w:r>
      <w:r>
        <w:t xml:space="preserve"> Zie W.H. van Boom, ‘</w:t>
      </w:r>
      <w:r w:rsidRPr="00AB09A1">
        <w:t>Van verplaatste schade en opgeofferde vrije tijd</w:t>
      </w:r>
      <w:r>
        <w:t xml:space="preserve">’, </w:t>
      </w:r>
      <w:r w:rsidRPr="004936EF">
        <w:rPr>
          <w:i/>
        </w:rPr>
        <w:t>A&amp;V</w:t>
      </w:r>
      <w:r>
        <w:t xml:space="preserve"> 1999/4/5, p. 91-92 en G.M. Tilanus, annotatie bij </w:t>
      </w:r>
      <w:r w:rsidRPr="00AC3197">
        <w:rPr>
          <w:i/>
        </w:rPr>
        <w:t>VR</w:t>
      </w:r>
      <w:r>
        <w:t xml:space="preserve"> 1999/166 (Losser/Kruidhof), p. 313-314.</w:t>
      </w:r>
    </w:p>
  </w:footnote>
  <w:footnote w:id="19">
    <w:p w:rsidR="00A8130E" w:rsidRPr="00DB0CAA" w:rsidRDefault="00A8130E">
      <w:pPr>
        <w:pStyle w:val="FootnoteText"/>
        <w:rPr>
          <w:lang w:val="en-US"/>
        </w:rPr>
      </w:pPr>
      <w:r>
        <w:rPr>
          <w:rStyle w:val="FootnoteReference"/>
        </w:rPr>
        <w:footnoteRef/>
      </w:r>
      <w:r>
        <w:t xml:space="preserve"> Ook naar Engels recht pleegt hier een aanspraak op vergoeding te worden aanvaard, hoewel</w:t>
      </w:r>
      <w:r w:rsidR="00DB0CAA">
        <w:t xml:space="preserve"> (ook)</w:t>
      </w:r>
      <w:r>
        <w:t xml:space="preserve"> naar dat recht de naasten in geval van letsel geen zelfstandige aanspraak toekomt. </w:t>
      </w:r>
      <w:r w:rsidRPr="00DB0CAA">
        <w:rPr>
          <w:lang w:val="en-US"/>
        </w:rPr>
        <w:t>Zie</w:t>
      </w:r>
      <w:r w:rsidR="00DB0CAA" w:rsidRPr="00DB0CAA">
        <w:rPr>
          <w:lang w:val="en-US"/>
        </w:rPr>
        <w:t xml:space="preserve"> Marco Bona, Philip Mead, Siewert Lindenbergh </w:t>
      </w:r>
      <w:r w:rsidR="00DB0CAA">
        <w:rPr>
          <w:lang w:val="en-US"/>
        </w:rPr>
        <w:t>(</w:t>
      </w:r>
      <w:r w:rsidR="00DB0CAA" w:rsidRPr="00DB0CAA">
        <w:rPr>
          <w:lang w:val="en-US"/>
        </w:rPr>
        <w:t>ed.</w:t>
      </w:r>
      <w:r w:rsidR="00DB0CAA">
        <w:rPr>
          <w:lang w:val="en-US"/>
        </w:rPr>
        <w:t xml:space="preserve">), </w:t>
      </w:r>
      <w:r w:rsidR="00DB0CAA" w:rsidRPr="00DB0CAA">
        <w:rPr>
          <w:i/>
          <w:lang w:val="en-US"/>
        </w:rPr>
        <w:t>Personal Injury Compensation in Europe, Fatal Accidents &amp; Secondary victims</w:t>
      </w:r>
      <w:r w:rsidR="00DB0CAA" w:rsidRPr="00DB0CAA">
        <w:rPr>
          <w:lang w:val="en-US"/>
        </w:rPr>
        <w:t>, London 2005, p.</w:t>
      </w:r>
      <w:r w:rsidRPr="00DB0CAA">
        <w:rPr>
          <w:lang w:val="en-US"/>
        </w:rPr>
        <w:t xml:space="preserve"> </w:t>
      </w:r>
      <w:r w:rsidR="00DB0CAA">
        <w:rPr>
          <w:lang w:val="en-US"/>
        </w:rPr>
        <w:t>85</w:t>
      </w:r>
      <w:r w:rsidRPr="00DB0CAA">
        <w:rPr>
          <w:lang w:val="en-US"/>
        </w:rPr>
        <w:t>.</w:t>
      </w:r>
    </w:p>
  </w:footnote>
  <w:footnote w:id="20">
    <w:p w:rsidR="00A8130E" w:rsidRPr="004E7153" w:rsidRDefault="00A8130E">
      <w:pPr>
        <w:pStyle w:val="FootnoteText"/>
      </w:pPr>
      <w:r>
        <w:rPr>
          <w:rStyle w:val="FootnoteReference"/>
        </w:rPr>
        <w:footnoteRef/>
      </w:r>
      <w:r w:rsidRPr="00772D34">
        <w:t xml:space="preserve"> Vgl. </w:t>
      </w:r>
      <w:r>
        <w:t>b</w:t>
      </w:r>
      <w:r w:rsidRPr="00772D34">
        <w:t xml:space="preserve">ijv. </w:t>
      </w:r>
      <w:r>
        <w:t>i</w:t>
      </w:r>
      <w:r w:rsidRPr="00772D34">
        <w:t>n de</w:t>
      </w:r>
      <w:r>
        <w:t xml:space="preserve">ze zin Mon. B-35 (Klaassen), nr. </w:t>
      </w:r>
      <w:r w:rsidR="00B16947">
        <w:t>10c</w:t>
      </w:r>
      <w:r w:rsidRPr="004E7153">
        <w:t>.</w:t>
      </w:r>
    </w:p>
  </w:footnote>
  <w:footnote w:id="21">
    <w:p w:rsidR="00A8130E" w:rsidRPr="004E7153" w:rsidRDefault="00A8130E">
      <w:pPr>
        <w:pStyle w:val="FootnoteText"/>
      </w:pPr>
      <w:r>
        <w:rPr>
          <w:rStyle w:val="FootnoteReference"/>
        </w:rPr>
        <w:footnoteRef/>
      </w:r>
      <w:r w:rsidRPr="004E7153">
        <w:t xml:space="preserve"> HR 10 april 2009, </w:t>
      </w:r>
      <w:r w:rsidRPr="004E7153">
        <w:rPr>
          <w:i/>
        </w:rPr>
        <w:t>NJ</w:t>
      </w:r>
      <w:r w:rsidRPr="004E7153">
        <w:t xml:space="preserve"> 2009/386 m.nt. J.B.M. Vranken (Phillip Morris/Bolink).</w:t>
      </w:r>
    </w:p>
  </w:footnote>
  <w:footnote w:id="22">
    <w:p w:rsidR="003F4891" w:rsidRPr="003F4891" w:rsidRDefault="003F4891">
      <w:pPr>
        <w:pStyle w:val="FootnoteText"/>
        <w:rPr>
          <w:lang w:val="en-US"/>
        </w:rPr>
      </w:pPr>
      <w:r>
        <w:rPr>
          <w:rStyle w:val="FootnoteReference"/>
        </w:rPr>
        <w:footnoteRef/>
      </w:r>
      <w:r>
        <w:t xml:space="preserve"> </w:t>
      </w:r>
      <w:r>
        <w:rPr>
          <w:lang w:val="en-US"/>
        </w:rPr>
        <w:t>Opmerkelijk is in dit verband dat nu in het licht van het voorstel ineens kwesties (rechtsverhouding tussen verzorgende naaste en gekwetste, fiscal</w:t>
      </w:r>
      <w:r w:rsidR="00613312">
        <w:rPr>
          <w:lang w:val="en-US"/>
        </w:rPr>
        <w:t>e</w:t>
      </w:r>
      <w:r>
        <w:rPr>
          <w:lang w:val="en-US"/>
        </w:rPr>
        <w:t xml:space="preserve"> consequenties daarvan) worden opgeworpen die ook naar bestaand recht al (zouden moeten) spelen. Zie bijv. de bedenkingen van ASP, verwoord in A.J. Van, A.H. Blok &amp; J.L. van Schoonhoven, ‘Het ConsultatievoorsteL: goed, maar nog niet perfect’, </w:t>
      </w:r>
      <w:r w:rsidRPr="003F4891">
        <w:rPr>
          <w:i/>
          <w:lang w:val="en-US"/>
        </w:rPr>
        <w:t>TVP</w:t>
      </w:r>
      <w:r>
        <w:rPr>
          <w:lang w:val="en-US"/>
        </w:rPr>
        <w:t xml:space="preserve"> 2014/4, p. 128-129.</w:t>
      </w:r>
    </w:p>
  </w:footnote>
  <w:footnote w:id="23">
    <w:p w:rsidR="00660089" w:rsidRPr="00660089" w:rsidRDefault="00660089">
      <w:pPr>
        <w:pStyle w:val="FootnoteText"/>
        <w:rPr>
          <w:lang w:val="en-US"/>
        </w:rPr>
      </w:pPr>
      <w:r>
        <w:rPr>
          <w:rStyle w:val="FootnoteReference"/>
        </w:rPr>
        <w:footnoteRef/>
      </w:r>
      <w:r>
        <w:t xml:space="preserve"> </w:t>
      </w:r>
      <w:r>
        <w:rPr>
          <w:lang w:val="en-US"/>
        </w:rPr>
        <w:t xml:space="preserve">Zie voor praktische problemen op dit punt bijv. ook F.Th. Kremer, ‘Affectieschade en zorgschade: een (on)mogelijk duo?’, </w:t>
      </w:r>
      <w:r w:rsidRPr="00660089">
        <w:rPr>
          <w:i/>
          <w:lang w:val="en-US"/>
        </w:rPr>
        <w:t>TVP</w:t>
      </w:r>
      <w:r>
        <w:rPr>
          <w:lang w:val="en-US"/>
        </w:rPr>
        <w:t xml:space="preserve"> 2014/4, p. 131.</w:t>
      </w:r>
    </w:p>
  </w:footnote>
  <w:footnote w:id="24">
    <w:p w:rsidR="002267A4" w:rsidRPr="002267A4" w:rsidRDefault="002267A4">
      <w:pPr>
        <w:pStyle w:val="FootnoteText"/>
        <w:rPr>
          <w:lang w:val="en-US"/>
        </w:rPr>
      </w:pPr>
      <w:r>
        <w:rPr>
          <w:rStyle w:val="FootnoteReference"/>
        </w:rPr>
        <w:footnoteRef/>
      </w:r>
      <w:r>
        <w:t xml:space="preserve"> De rechtspraak laat zien dat</w:t>
      </w:r>
      <w:r>
        <w:rPr>
          <w:lang w:val="en-US"/>
        </w:rPr>
        <w:t xml:space="preserve"> ook afrekenen naar de huidige maatstaven van kosten van professionele zorg in geval van mantelzorg al uiterst complex kan zijn. Zie bijv. Hof Arnhem-Leeuwarden 14 januari 2014, </w:t>
      </w:r>
      <w:r w:rsidRPr="002267A4">
        <w:rPr>
          <w:i/>
          <w:lang w:val="en-US"/>
        </w:rPr>
        <w:t>NJF</w:t>
      </w:r>
      <w:r>
        <w:rPr>
          <w:lang w:val="en-US"/>
        </w:rPr>
        <w:t xml:space="preserve"> 2014/115.</w:t>
      </w:r>
    </w:p>
  </w:footnote>
  <w:footnote w:id="25">
    <w:p w:rsidR="00A8130E" w:rsidRDefault="00A8130E">
      <w:pPr>
        <w:pStyle w:val="FootnoteText"/>
      </w:pPr>
      <w:r>
        <w:rPr>
          <w:rStyle w:val="FootnoteReference"/>
        </w:rPr>
        <w:footnoteRef/>
      </w:r>
      <w:r>
        <w:t xml:space="preserve"> </w:t>
      </w:r>
      <w:r w:rsidR="003B0C79">
        <w:t xml:space="preserve">Zie over de (curieuze) politieke lotgevallen van het eerdere wetsvoorstel </w:t>
      </w:r>
      <w:r w:rsidR="00B816A0">
        <w:t xml:space="preserve">D.T. van Houwelingen, ‘Waarom heeft het Wetsvoorstel Affectieschade het Staatsblad niet gehaald?’, in: W.H. van Boom &amp; S.D. Lindenbergh (red.), </w:t>
      </w:r>
      <w:r w:rsidR="00B816A0">
        <w:rPr>
          <w:i/>
        </w:rPr>
        <w:t>Politiek Privaatrecht</w:t>
      </w:r>
      <w:r w:rsidR="00B816A0">
        <w:t>, Den Haag 2013, p. 429 e.v.</w:t>
      </w:r>
    </w:p>
  </w:footnote>
  <w:footnote w:id="26">
    <w:p w:rsidR="002267A4" w:rsidRPr="002267A4" w:rsidRDefault="002267A4">
      <w:pPr>
        <w:pStyle w:val="FootnoteText"/>
        <w:rPr>
          <w:lang w:val="en-US"/>
        </w:rPr>
      </w:pPr>
      <w:r>
        <w:rPr>
          <w:rStyle w:val="FootnoteReference"/>
        </w:rPr>
        <w:footnoteRef/>
      </w:r>
      <w:r>
        <w:t xml:space="preserve"> </w:t>
      </w:r>
      <w:r>
        <w:rPr>
          <w:lang w:val="en-US"/>
        </w:rPr>
        <w:t xml:space="preserve">Vgl. bijv. ook de verontwaardiging van verzekeraarszijde, verwoord door F.Th. Kremer, ‘Affectieschade en zorgschade: een (on)mogelijk duo?’, </w:t>
      </w:r>
      <w:r w:rsidRPr="00660089">
        <w:rPr>
          <w:i/>
          <w:lang w:val="en-US"/>
        </w:rPr>
        <w:t>TVP</w:t>
      </w:r>
      <w:r>
        <w:rPr>
          <w:lang w:val="en-US"/>
        </w:rPr>
        <w:t xml:space="preserve"> 2014/4, p. 131.</w:t>
      </w:r>
    </w:p>
  </w:footnote>
  <w:footnote w:id="27">
    <w:p w:rsidR="00B51A47" w:rsidRPr="00B51A47" w:rsidRDefault="00A8130E" w:rsidP="00B51A47">
      <w:pPr>
        <w:autoSpaceDE w:val="0"/>
        <w:autoSpaceDN w:val="0"/>
        <w:adjustRightInd w:val="0"/>
        <w:rPr>
          <w:rFonts w:cs="Arial"/>
          <w:i/>
          <w:iCs/>
          <w:sz w:val="20"/>
        </w:rPr>
      </w:pPr>
      <w:r>
        <w:rPr>
          <w:rStyle w:val="FootnoteReference"/>
        </w:rPr>
        <w:footnoteRef/>
      </w:r>
      <w:r>
        <w:t xml:space="preserve"> </w:t>
      </w:r>
      <w:r w:rsidR="00B816A0" w:rsidRPr="00B51A47">
        <w:rPr>
          <w:rFonts w:cs="Arial"/>
          <w:sz w:val="20"/>
        </w:rPr>
        <w:t xml:space="preserve">A.J. Akkermans e.a., </w:t>
      </w:r>
      <w:r w:rsidR="00B51A47" w:rsidRPr="00B51A47">
        <w:rPr>
          <w:rFonts w:cs="Arial"/>
          <w:i/>
          <w:iCs/>
          <w:sz w:val="20"/>
        </w:rPr>
        <w:t>Slachtoffers en aansprakelijkheid. Een onderzoek naar</w:t>
      </w:r>
    </w:p>
    <w:p w:rsidR="00B51A47" w:rsidRPr="00B51A47" w:rsidRDefault="00B51A47" w:rsidP="00B51A47">
      <w:pPr>
        <w:autoSpaceDE w:val="0"/>
        <w:autoSpaceDN w:val="0"/>
        <w:adjustRightInd w:val="0"/>
        <w:rPr>
          <w:rFonts w:cs="Arial"/>
          <w:i/>
          <w:iCs/>
          <w:sz w:val="20"/>
        </w:rPr>
      </w:pPr>
      <w:r w:rsidRPr="00B51A47">
        <w:rPr>
          <w:rFonts w:cs="Arial"/>
          <w:i/>
          <w:iCs/>
          <w:sz w:val="20"/>
        </w:rPr>
        <w:t>behoeften, verwachtingen en ervaringen van slachtoffers en hun naasten met</w:t>
      </w:r>
    </w:p>
    <w:p w:rsidR="00B51A47" w:rsidRPr="00B51A47" w:rsidRDefault="00B51A47" w:rsidP="00B51A47">
      <w:pPr>
        <w:autoSpaceDE w:val="0"/>
        <w:autoSpaceDN w:val="0"/>
        <w:adjustRightInd w:val="0"/>
        <w:rPr>
          <w:rFonts w:cs="Arial"/>
          <w:sz w:val="20"/>
        </w:rPr>
      </w:pPr>
      <w:r w:rsidRPr="00B51A47">
        <w:rPr>
          <w:rFonts w:cs="Arial"/>
          <w:i/>
          <w:iCs/>
          <w:sz w:val="20"/>
        </w:rPr>
        <w:t>betrekking tot het civiele aansprakelijkheidsrecht. Deel II Affectieschade</w:t>
      </w:r>
      <w:r w:rsidRPr="00B51A47">
        <w:rPr>
          <w:rFonts w:cs="Arial"/>
          <w:sz w:val="20"/>
        </w:rPr>
        <w:t>,</w:t>
      </w:r>
    </w:p>
    <w:p w:rsidR="00A8130E" w:rsidRDefault="00B51A47" w:rsidP="00B51A47">
      <w:pPr>
        <w:pStyle w:val="FootnoteText"/>
      </w:pPr>
      <w:r w:rsidRPr="00B51A47">
        <w:rPr>
          <w:rFonts w:cs="Arial"/>
        </w:rPr>
        <w:t>Den Haag: WODC 2008.</w:t>
      </w:r>
    </w:p>
  </w:footnote>
  <w:footnote w:id="28">
    <w:p w:rsidR="00A8130E" w:rsidRPr="000E18C5" w:rsidRDefault="00A8130E">
      <w:pPr>
        <w:pStyle w:val="FootnoteText"/>
      </w:pPr>
      <w:r>
        <w:rPr>
          <w:rStyle w:val="FootnoteReference"/>
        </w:rPr>
        <w:footnoteRef/>
      </w:r>
      <w:r>
        <w:t xml:space="preserve"> Hetgeen overigens een </w:t>
      </w:r>
      <w:r>
        <w:rPr>
          <w:i/>
        </w:rPr>
        <w:t>schijnbare</w:t>
      </w:r>
      <w:r>
        <w:t xml:space="preserve"> tegenstelling betekent.</w:t>
      </w:r>
    </w:p>
  </w:footnote>
  <w:footnote w:id="29">
    <w:p w:rsidR="00A8130E" w:rsidRDefault="00A8130E">
      <w:pPr>
        <w:pStyle w:val="FootnoteText"/>
      </w:pPr>
      <w:r>
        <w:rPr>
          <w:rStyle w:val="FootnoteReference"/>
        </w:rPr>
        <w:footnoteRef/>
      </w:r>
      <w:r>
        <w:t xml:space="preserve"> Vgl. bijv. A.J. Verheij, </w:t>
      </w:r>
      <w:r w:rsidR="003B0C79">
        <w:t xml:space="preserve">‘Wetsvoorstel zorg- en affectieschade, Een evenwichtsoefening tussen hanteerbaarheid en individuele rechtvaardigheid’, </w:t>
      </w:r>
      <w:r w:rsidR="003B0C79">
        <w:rPr>
          <w:i/>
        </w:rPr>
        <w:t>VR</w:t>
      </w:r>
      <w:r w:rsidR="003B0C79">
        <w:t xml:space="preserve"> 2014/95</w:t>
      </w:r>
      <w:r>
        <w:t>.</w:t>
      </w:r>
    </w:p>
  </w:footnote>
  <w:footnote w:id="30">
    <w:p w:rsidR="00A8130E" w:rsidRDefault="00A8130E">
      <w:pPr>
        <w:pStyle w:val="FootnoteText"/>
      </w:pPr>
      <w:r>
        <w:rPr>
          <w:rStyle w:val="FootnoteReference"/>
        </w:rPr>
        <w:footnoteRef/>
      </w:r>
      <w:r>
        <w:t xml:space="preserve"> </w:t>
      </w:r>
      <w:r w:rsidR="00B816A0">
        <w:t xml:space="preserve">J.L. </w:t>
      </w:r>
      <w:r w:rsidR="003B0C79">
        <w:t>Desmecht e.a.</w:t>
      </w:r>
      <w:r w:rsidR="00B816A0">
        <w:t xml:space="preserve"> (red.), </w:t>
      </w:r>
      <w:r w:rsidR="00B816A0" w:rsidRPr="00B816A0">
        <w:rPr>
          <w:i/>
        </w:rPr>
        <w:t>Indicatieve Tabel</w:t>
      </w:r>
      <w:r w:rsidR="00B816A0">
        <w:t xml:space="preserve">, </w:t>
      </w:r>
      <w:r w:rsidR="00B816A0" w:rsidRPr="00B816A0">
        <w:t>Die Keure</w:t>
      </w:r>
      <w:r w:rsidR="00B816A0">
        <w:t xml:space="preserve"> 2012.</w:t>
      </w:r>
    </w:p>
  </w:footnote>
  <w:footnote w:id="31">
    <w:p w:rsidR="00B51A47" w:rsidRDefault="00B51A47">
      <w:pPr>
        <w:pStyle w:val="FootnoteText"/>
      </w:pPr>
      <w:r>
        <w:rPr>
          <w:rStyle w:val="FootnoteReference"/>
        </w:rPr>
        <w:footnoteRef/>
      </w:r>
      <w:r>
        <w:t xml:space="preserve"> Zie daarover bijv. ook Verheij, </w:t>
      </w:r>
      <w:r>
        <w:rPr>
          <w:i/>
        </w:rPr>
        <w:t>VR</w:t>
      </w:r>
      <w:r>
        <w:t xml:space="preserve"> 2014/95 en T. Hartlief, ‘Beperkte kring van gerechtigden onder vuur’, </w:t>
      </w:r>
      <w:r>
        <w:rPr>
          <w:i/>
        </w:rPr>
        <w:t>NJB</w:t>
      </w:r>
      <w:r>
        <w:t xml:space="preserve"> 2014/1270.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3862FF"/>
    <w:multiLevelType w:val="hybridMultilevel"/>
    <w:tmpl w:val="B99C273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9136A1F"/>
    <w:multiLevelType w:val="hybridMultilevel"/>
    <w:tmpl w:val="91EC760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2B191999"/>
    <w:multiLevelType w:val="hybridMultilevel"/>
    <w:tmpl w:val="9E1C44FC"/>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3F3B09D8"/>
    <w:multiLevelType w:val="hybridMultilevel"/>
    <w:tmpl w:val="B6B02CD8"/>
    <w:lvl w:ilvl="0" w:tplc="D5ACBCEC">
      <w:start w:val="1"/>
      <w:numFmt w:val="bullet"/>
      <w:lvlText w:val="•"/>
      <w:lvlJc w:val="left"/>
      <w:pPr>
        <w:tabs>
          <w:tab w:val="num" w:pos="720"/>
        </w:tabs>
        <w:ind w:left="720" w:hanging="360"/>
      </w:pPr>
      <w:rPr>
        <w:rFonts w:ascii="Times New Roman" w:hAnsi="Times New Roman" w:hint="default"/>
      </w:rPr>
    </w:lvl>
    <w:lvl w:ilvl="1" w:tplc="26003ADE" w:tentative="1">
      <w:start w:val="1"/>
      <w:numFmt w:val="bullet"/>
      <w:lvlText w:val="•"/>
      <w:lvlJc w:val="left"/>
      <w:pPr>
        <w:tabs>
          <w:tab w:val="num" w:pos="1440"/>
        </w:tabs>
        <w:ind w:left="1440" w:hanging="360"/>
      </w:pPr>
      <w:rPr>
        <w:rFonts w:ascii="Times New Roman" w:hAnsi="Times New Roman" w:hint="default"/>
      </w:rPr>
    </w:lvl>
    <w:lvl w:ilvl="2" w:tplc="C3BEE7D2" w:tentative="1">
      <w:start w:val="1"/>
      <w:numFmt w:val="bullet"/>
      <w:lvlText w:val="•"/>
      <w:lvlJc w:val="left"/>
      <w:pPr>
        <w:tabs>
          <w:tab w:val="num" w:pos="2160"/>
        </w:tabs>
        <w:ind w:left="2160" w:hanging="360"/>
      </w:pPr>
      <w:rPr>
        <w:rFonts w:ascii="Times New Roman" w:hAnsi="Times New Roman" w:hint="default"/>
      </w:rPr>
    </w:lvl>
    <w:lvl w:ilvl="3" w:tplc="039256A2" w:tentative="1">
      <w:start w:val="1"/>
      <w:numFmt w:val="bullet"/>
      <w:lvlText w:val="•"/>
      <w:lvlJc w:val="left"/>
      <w:pPr>
        <w:tabs>
          <w:tab w:val="num" w:pos="2880"/>
        </w:tabs>
        <w:ind w:left="2880" w:hanging="360"/>
      </w:pPr>
      <w:rPr>
        <w:rFonts w:ascii="Times New Roman" w:hAnsi="Times New Roman" w:hint="default"/>
      </w:rPr>
    </w:lvl>
    <w:lvl w:ilvl="4" w:tplc="F0A44BDE" w:tentative="1">
      <w:start w:val="1"/>
      <w:numFmt w:val="bullet"/>
      <w:lvlText w:val="•"/>
      <w:lvlJc w:val="left"/>
      <w:pPr>
        <w:tabs>
          <w:tab w:val="num" w:pos="3600"/>
        </w:tabs>
        <w:ind w:left="3600" w:hanging="360"/>
      </w:pPr>
      <w:rPr>
        <w:rFonts w:ascii="Times New Roman" w:hAnsi="Times New Roman" w:hint="default"/>
      </w:rPr>
    </w:lvl>
    <w:lvl w:ilvl="5" w:tplc="01CAF6E6" w:tentative="1">
      <w:start w:val="1"/>
      <w:numFmt w:val="bullet"/>
      <w:lvlText w:val="•"/>
      <w:lvlJc w:val="left"/>
      <w:pPr>
        <w:tabs>
          <w:tab w:val="num" w:pos="4320"/>
        </w:tabs>
        <w:ind w:left="4320" w:hanging="360"/>
      </w:pPr>
      <w:rPr>
        <w:rFonts w:ascii="Times New Roman" w:hAnsi="Times New Roman" w:hint="default"/>
      </w:rPr>
    </w:lvl>
    <w:lvl w:ilvl="6" w:tplc="80B4139C" w:tentative="1">
      <w:start w:val="1"/>
      <w:numFmt w:val="bullet"/>
      <w:lvlText w:val="•"/>
      <w:lvlJc w:val="left"/>
      <w:pPr>
        <w:tabs>
          <w:tab w:val="num" w:pos="5040"/>
        </w:tabs>
        <w:ind w:left="5040" w:hanging="360"/>
      </w:pPr>
      <w:rPr>
        <w:rFonts w:ascii="Times New Roman" w:hAnsi="Times New Roman" w:hint="default"/>
      </w:rPr>
    </w:lvl>
    <w:lvl w:ilvl="7" w:tplc="94564E84" w:tentative="1">
      <w:start w:val="1"/>
      <w:numFmt w:val="bullet"/>
      <w:lvlText w:val="•"/>
      <w:lvlJc w:val="left"/>
      <w:pPr>
        <w:tabs>
          <w:tab w:val="num" w:pos="5760"/>
        </w:tabs>
        <w:ind w:left="5760" w:hanging="360"/>
      </w:pPr>
      <w:rPr>
        <w:rFonts w:ascii="Times New Roman" w:hAnsi="Times New Roman" w:hint="default"/>
      </w:rPr>
    </w:lvl>
    <w:lvl w:ilvl="8" w:tplc="A21C829E"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2D8"/>
    <w:rsid w:val="00030F63"/>
    <w:rsid w:val="000622C1"/>
    <w:rsid w:val="000A2C6F"/>
    <w:rsid w:val="000D67C2"/>
    <w:rsid w:val="000E18C5"/>
    <w:rsid w:val="000E1ECC"/>
    <w:rsid w:val="00172CBE"/>
    <w:rsid w:val="00192508"/>
    <w:rsid w:val="001C4DD7"/>
    <w:rsid w:val="001E1AD4"/>
    <w:rsid w:val="001F675A"/>
    <w:rsid w:val="002267A4"/>
    <w:rsid w:val="002A5CE9"/>
    <w:rsid w:val="00303188"/>
    <w:rsid w:val="0031326C"/>
    <w:rsid w:val="00314523"/>
    <w:rsid w:val="003173A1"/>
    <w:rsid w:val="0036110F"/>
    <w:rsid w:val="0036745E"/>
    <w:rsid w:val="00387A4D"/>
    <w:rsid w:val="00394952"/>
    <w:rsid w:val="003A47F0"/>
    <w:rsid w:val="003B0C79"/>
    <w:rsid w:val="003D4B94"/>
    <w:rsid w:val="003E1F8B"/>
    <w:rsid w:val="003F426B"/>
    <w:rsid w:val="003F4891"/>
    <w:rsid w:val="0041764F"/>
    <w:rsid w:val="004307B0"/>
    <w:rsid w:val="00452C27"/>
    <w:rsid w:val="00493DBD"/>
    <w:rsid w:val="004B2DAD"/>
    <w:rsid w:val="004C3B5B"/>
    <w:rsid w:val="004E7153"/>
    <w:rsid w:val="004F0DED"/>
    <w:rsid w:val="004F5E1F"/>
    <w:rsid w:val="00526729"/>
    <w:rsid w:val="005518CC"/>
    <w:rsid w:val="005D5D88"/>
    <w:rsid w:val="005E32F1"/>
    <w:rsid w:val="005E69D3"/>
    <w:rsid w:val="00613312"/>
    <w:rsid w:val="00660089"/>
    <w:rsid w:val="0066568A"/>
    <w:rsid w:val="006C08DD"/>
    <w:rsid w:val="00701E49"/>
    <w:rsid w:val="00706E15"/>
    <w:rsid w:val="007357E8"/>
    <w:rsid w:val="007468F9"/>
    <w:rsid w:val="00772D34"/>
    <w:rsid w:val="00785C12"/>
    <w:rsid w:val="007B252B"/>
    <w:rsid w:val="007E45B2"/>
    <w:rsid w:val="007F2790"/>
    <w:rsid w:val="00811972"/>
    <w:rsid w:val="00837E9C"/>
    <w:rsid w:val="00847AB4"/>
    <w:rsid w:val="00847DF6"/>
    <w:rsid w:val="00885AA2"/>
    <w:rsid w:val="008F3274"/>
    <w:rsid w:val="0090743F"/>
    <w:rsid w:val="00923D8F"/>
    <w:rsid w:val="009655A1"/>
    <w:rsid w:val="009858C4"/>
    <w:rsid w:val="009E0157"/>
    <w:rsid w:val="00A24B93"/>
    <w:rsid w:val="00A32C2F"/>
    <w:rsid w:val="00A503B3"/>
    <w:rsid w:val="00A63A10"/>
    <w:rsid w:val="00A8130E"/>
    <w:rsid w:val="00A8264B"/>
    <w:rsid w:val="00A8697A"/>
    <w:rsid w:val="00A927EE"/>
    <w:rsid w:val="00B16947"/>
    <w:rsid w:val="00B37345"/>
    <w:rsid w:val="00B51A47"/>
    <w:rsid w:val="00B602A3"/>
    <w:rsid w:val="00B816A0"/>
    <w:rsid w:val="00BA6A8F"/>
    <w:rsid w:val="00CD0FCF"/>
    <w:rsid w:val="00CF4771"/>
    <w:rsid w:val="00D2701B"/>
    <w:rsid w:val="00D66BE2"/>
    <w:rsid w:val="00DB0CAA"/>
    <w:rsid w:val="00E0692F"/>
    <w:rsid w:val="00E4608F"/>
    <w:rsid w:val="00F35706"/>
    <w:rsid w:val="00F832D8"/>
    <w:rsid w:val="00F8597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8EFE83B-68E6-4880-90C3-C2ECF9C0A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32D8"/>
    <w:pPr>
      <w:ind w:left="720"/>
      <w:contextualSpacing/>
    </w:pPr>
  </w:style>
  <w:style w:type="paragraph" w:styleId="FootnoteText">
    <w:name w:val="footnote text"/>
    <w:basedOn w:val="Normal"/>
    <w:link w:val="FootnoteTextChar"/>
    <w:uiPriority w:val="99"/>
    <w:unhideWhenUsed/>
    <w:rsid w:val="00F832D8"/>
    <w:rPr>
      <w:sz w:val="20"/>
    </w:rPr>
  </w:style>
  <w:style w:type="character" w:customStyle="1" w:styleId="FootnoteTextChar">
    <w:name w:val="Footnote Text Char"/>
    <w:basedOn w:val="DefaultParagraphFont"/>
    <w:link w:val="FootnoteText"/>
    <w:uiPriority w:val="99"/>
    <w:rsid w:val="00F832D8"/>
    <w:rPr>
      <w:rFonts w:ascii="Arial" w:hAnsi="Arial"/>
    </w:rPr>
  </w:style>
  <w:style w:type="character" w:styleId="FootnoteReference">
    <w:name w:val="footnote reference"/>
    <w:basedOn w:val="DefaultParagraphFont"/>
    <w:uiPriority w:val="99"/>
    <w:semiHidden/>
    <w:unhideWhenUsed/>
    <w:rsid w:val="00F832D8"/>
    <w:rPr>
      <w:vertAlign w:val="superscript"/>
    </w:rPr>
  </w:style>
  <w:style w:type="paragraph" w:styleId="Header">
    <w:name w:val="header"/>
    <w:basedOn w:val="Normal"/>
    <w:link w:val="HeaderChar"/>
    <w:uiPriority w:val="99"/>
    <w:unhideWhenUsed/>
    <w:rsid w:val="003D4B94"/>
    <w:pPr>
      <w:tabs>
        <w:tab w:val="center" w:pos="4513"/>
        <w:tab w:val="right" w:pos="9026"/>
      </w:tabs>
    </w:pPr>
  </w:style>
  <w:style w:type="character" w:customStyle="1" w:styleId="HeaderChar">
    <w:name w:val="Header Char"/>
    <w:basedOn w:val="DefaultParagraphFont"/>
    <w:link w:val="Header"/>
    <w:uiPriority w:val="99"/>
    <w:rsid w:val="003D4B94"/>
    <w:rPr>
      <w:rFonts w:ascii="Arial" w:hAnsi="Arial"/>
      <w:sz w:val="22"/>
    </w:rPr>
  </w:style>
  <w:style w:type="paragraph" w:styleId="Footer">
    <w:name w:val="footer"/>
    <w:basedOn w:val="Normal"/>
    <w:link w:val="FooterChar"/>
    <w:uiPriority w:val="99"/>
    <w:unhideWhenUsed/>
    <w:rsid w:val="003D4B94"/>
    <w:pPr>
      <w:tabs>
        <w:tab w:val="center" w:pos="4513"/>
        <w:tab w:val="right" w:pos="9026"/>
      </w:tabs>
    </w:pPr>
  </w:style>
  <w:style w:type="character" w:customStyle="1" w:styleId="FooterChar">
    <w:name w:val="Footer Char"/>
    <w:basedOn w:val="DefaultParagraphFont"/>
    <w:link w:val="Footer"/>
    <w:uiPriority w:val="99"/>
    <w:rsid w:val="003D4B94"/>
    <w:rPr>
      <w:rFonts w:ascii="Arial" w:hAnsi="Arial"/>
      <w:sz w:val="22"/>
    </w:rPr>
  </w:style>
  <w:style w:type="character" w:customStyle="1" w:styleId="tdefault">
    <w:name w:val="t_default"/>
    <w:basedOn w:val="DefaultParagraphFont"/>
    <w:rsid w:val="001C4DD7"/>
  </w:style>
  <w:style w:type="paragraph" w:styleId="BalloonText">
    <w:name w:val="Balloon Text"/>
    <w:basedOn w:val="Normal"/>
    <w:link w:val="BalloonTextChar"/>
    <w:uiPriority w:val="99"/>
    <w:semiHidden/>
    <w:unhideWhenUsed/>
    <w:rsid w:val="003F489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48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497635">
      <w:bodyDiv w:val="1"/>
      <w:marLeft w:val="0"/>
      <w:marRight w:val="0"/>
      <w:marTop w:val="0"/>
      <w:marBottom w:val="0"/>
      <w:divBdr>
        <w:top w:val="none" w:sz="0" w:space="0" w:color="auto"/>
        <w:left w:val="none" w:sz="0" w:space="0" w:color="auto"/>
        <w:bottom w:val="none" w:sz="0" w:space="0" w:color="auto"/>
        <w:right w:val="none" w:sz="0" w:space="0" w:color="auto"/>
      </w:divBdr>
      <w:divsChild>
        <w:div w:id="1062143886">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20D590-8809-49B6-A197-848AC832C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4157</Words>
  <Characters>22661</Characters>
  <Application>Microsoft Office Word</Application>
  <DocSecurity>0</DocSecurity>
  <Lines>188</Lines>
  <Paragraphs>53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Company>
  <LinksUpToDate>false</LinksUpToDate>
  <CharactersWithSpaces>26765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Siewert Lindenbergh</dc:creator>
  <cp:lastModifiedBy>S.D. Lindenbergh</cp:lastModifiedBy>
  <cp:revision>2</cp:revision>
  <cp:lastPrinted>2015-01-08T10:27:00Z</cp:lastPrinted>
  <dcterms:created xsi:type="dcterms:W3CDTF">2015-01-08T12:32:00Z</dcterms:created>
  <dcterms:modified xsi:type="dcterms:W3CDTF">2015-01-08T12:32:00Z</dcterms:modified>
</cp:coreProperties>
</file>